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Default="00025948" w:rsidP="00025948">
      <w:pPr>
        <w:rPr>
          <w:lang w:val="hr-HR"/>
        </w:rPr>
      </w:pPr>
    </w:p>
    <w:p w:rsidR="008A2363" w:rsidRDefault="008A2363" w:rsidP="00025948">
      <w:pPr>
        <w:rPr>
          <w:lang w:val="hr-HR"/>
        </w:rPr>
      </w:pPr>
    </w:p>
    <w:p w:rsidR="008A2363" w:rsidRDefault="008A2363" w:rsidP="00025948">
      <w:pPr>
        <w:rPr>
          <w:lang w:val="hr-HR"/>
        </w:rPr>
      </w:pPr>
    </w:p>
    <w:p w:rsidR="008A2363" w:rsidRDefault="008A2363" w:rsidP="00025948">
      <w:pPr>
        <w:rPr>
          <w:lang w:val="hr-HR"/>
        </w:rPr>
      </w:pPr>
    </w:p>
    <w:p w:rsidR="008A2363" w:rsidRPr="009B5CBF" w:rsidRDefault="008A2363"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8A2363" w:rsidRDefault="008A2363" w:rsidP="008A2363">
      <w:pPr>
        <w:jc w:val="center"/>
        <w:rPr>
          <w:rFonts w:ascii="Times New Roman" w:hAnsi="Times New Roman" w:cs="Times New Roman"/>
          <w:b/>
          <w:sz w:val="24"/>
          <w:szCs w:val="24"/>
          <w:lang w:val="hr-HR"/>
        </w:rPr>
      </w:pPr>
      <w:r w:rsidRPr="008A2363">
        <w:rPr>
          <w:rFonts w:ascii="Times New Roman" w:hAnsi="Times New Roman" w:cs="Times New Roman"/>
          <w:b/>
          <w:sz w:val="24"/>
          <w:szCs w:val="24"/>
          <w:lang w:val="hr-HR"/>
        </w:rPr>
        <w:t>OBRAZLOŽENJE PRIJEDLOGA IZMJENA I DOPUNA DRŽAVNOG PRORAČUNA REPUBLIKE HRVATSKE I FINANCIJSKIH PLANOVA IZVANPRORAČUNSKIH KORISNIKA ZA 2025. GODINU</w:t>
      </w:r>
    </w:p>
    <w:p w:rsidR="008A2363" w:rsidRPr="008A2363" w:rsidRDefault="008A2363" w:rsidP="008A2363">
      <w:pPr>
        <w:jc w:val="center"/>
        <w:rPr>
          <w:rFonts w:ascii="Times New Roman" w:hAnsi="Times New Roman" w:cs="Times New Roman"/>
          <w:b/>
          <w:sz w:val="24"/>
          <w:szCs w:val="24"/>
          <w:lang w:val="hr-HR"/>
        </w:rPr>
      </w:pPr>
    </w:p>
    <w:p w:rsidR="00025948" w:rsidRPr="009B5CBF" w:rsidRDefault="00025948" w:rsidP="00025948">
      <w:pPr>
        <w:rPr>
          <w:lang w:val="hr-HR"/>
        </w:rPr>
      </w:pPr>
    </w:p>
    <w:p w:rsidR="00025948" w:rsidRPr="009B5CBF" w:rsidRDefault="00025948" w:rsidP="00025948">
      <w:pPr>
        <w:rPr>
          <w:lang w:val="hr-HR"/>
        </w:rPr>
      </w:pPr>
    </w:p>
    <w:p w:rsidR="0072362F" w:rsidRPr="009B5CBF" w:rsidRDefault="0072362F" w:rsidP="00025948">
      <w:pPr>
        <w:rPr>
          <w:lang w:val="hr-HR"/>
        </w:rPr>
      </w:pPr>
    </w:p>
    <w:p w:rsidR="0072362F" w:rsidRPr="009B5CBF" w:rsidRDefault="0072362F"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Default="00025948" w:rsidP="00025948">
      <w:pPr>
        <w:rPr>
          <w:lang w:val="hr-HR"/>
        </w:rPr>
      </w:pPr>
    </w:p>
    <w:p w:rsidR="008A2363" w:rsidRPr="009B5CBF" w:rsidRDefault="008A2363" w:rsidP="00025948">
      <w:pPr>
        <w:rPr>
          <w:lang w:val="hr-HR"/>
        </w:rPr>
      </w:pPr>
      <w:r>
        <w:rPr>
          <w:lang w:val="hr-HR"/>
        </w:rPr>
        <w:br w:type="page"/>
      </w:r>
    </w:p>
    <w:p w:rsidR="008A2363" w:rsidRDefault="008A2363">
      <w:pPr>
        <w:pStyle w:val="TOCHeading"/>
        <w:rPr>
          <w:rFonts w:asciiTheme="minorHAnsi" w:eastAsiaTheme="minorHAnsi" w:hAnsiTheme="minorHAnsi" w:cstheme="minorBidi"/>
          <w:b w:val="0"/>
          <w:bCs w:val="0"/>
          <w:color w:val="auto"/>
          <w:sz w:val="22"/>
          <w:szCs w:val="22"/>
          <w:lang w:val="hr-HR" w:eastAsia="en-US"/>
        </w:rPr>
      </w:pP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Heading"/>
            <w:rPr>
              <w:lang w:val="hr-HR"/>
            </w:rPr>
          </w:pPr>
          <w:r w:rsidRPr="009B5CBF">
            <w:rPr>
              <w:lang w:val="hr-HR"/>
            </w:rPr>
            <w:t>Sadržaj</w:t>
          </w:r>
        </w:p>
        <w:p w:rsidR="00025948" w:rsidRPr="009B5CBF" w:rsidRDefault="00025948" w:rsidP="00025948">
          <w:pPr>
            <w:rPr>
              <w:lang w:val="hr-HR" w:eastAsia="ja-JP"/>
            </w:rPr>
          </w:pPr>
        </w:p>
        <w:p w:rsidR="0060238B" w:rsidRDefault="00025948">
          <w:pPr>
            <w:pStyle w:val="TOC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210305048" w:history="1">
            <w:r w:rsidR="0060238B" w:rsidRPr="008C308C">
              <w:rPr>
                <w:rStyle w:val="Hyperlink"/>
                <w:noProof/>
                <w:lang w:val="hr-HR"/>
              </w:rPr>
              <w:t>1.</w:t>
            </w:r>
            <w:r w:rsidR="0060238B">
              <w:rPr>
                <w:rFonts w:eastAsiaTheme="minorEastAsia"/>
                <w:noProof/>
                <w:lang w:val="hr-HR" w:eastAsia="hr-HR"/>
              </w:rPr>
              <w:tab/>
            </w:r>
            <w:r w:rsidR="0060238B" w:rsidRPr="008C308C">
              <w:rPr>
                <w:rStyle w:val="Hyperlink"/>
                <w:noProof/>
                <w:lang w:val="hr-HR"/>
              </w:rPr>
              <w:t>UVOD</w:t>
            </w:r>
            <w:r w:rsidR="0060238B">
              <w:rPr>
                <w:noProof/>
                <w:webHidden/>
              </w:rPr>
              <w:tab/>
            </w:r>
            <w:r w:rsidR="0060238B">
              <w:rPr>
                <w:noProof/>
                <w:webHidden/>
              </w:rPr>
              <w:fldChar w:fldCharType="begin"/>
            </w:r>
            <w:r w:rsidR="0060238B">
              <w:rPr>
                <w:noProof/>
                <w:webHidden/>
              </w:rPr>
              <w:instrText xml:space="preserve"> PAGEREF _Toc210305048 \h </w:instrText>
            </w:r>
            <w:r w:rsidR="0060238B">
              <w:rPr>
                <w:noProof/>
                <w:webHidden/>
              </w:rPr>
            </w:r>
            <w:r w:rsidR="0060238B">
              <w:rPr>
                <w:noProof/>
                <w:webHidden/>
              </w:rPr>
              <w:fldChar w:fldCharType="separate"/>
            </w:r>
            <w:r w:rsidR="00064A3E">
              <w:rPr>
                <w:noProof/>
                <w:webHidden/>
              </w:rPr>
              <w:t>3</w:t>
            </w:r>
            <w:r w:rsidR="0060238B">
              <w:rPr>
                <w:noProof/>
                <w:webHidden/>
              </w:rPr>
              <w:fldChar w:fldCharType="end"/>
            </w:r>
          </w:hyperlink>
        </w:p>
        <w:p w:rsidR="0060238B" w:rsidRDefault="008A2363">
          <w:pPr>
            <w:pStyle w:val="TOC1"/>
            <w:tabs>
              <w:tab w:val="left" w:pos="440"/>
              <w:tab w:val="right" w:leader="dot" w:pos="9062"/>
            </w:tabs>
            <w:rPr>
              <w:rFonts w:eastAsiaTheme="minorEastAsia"/>
              <w:noProof/>
              <w:lang w:val="hr-HR" w:eastAsia="hr-HR"/>
            </w:rPr>
          </w:pPr>
          <w:hyperlink w:anchor="_Toc210305049" w:history="1">
            <w:r w:rsidR="0060238B" w:rsidRPr="008C308C">
              <w:rPr>
                <w:rStyle w:val="Hyperlink"/>
                <w:noProof/>
                <w:lang w:val="hr-HR"/>
              </w:rPr>
              <w:t>2.</w:t>
            </w:r>
            <w:r w:rsidR="0060238B">
              <w:rPr>
                <w:rFonts w:eastAsiaTheme="minorEastAsia"/>
                <w:noProof/>
                <w:lang w:val="hr-HR" w:eastAsia="hr-HR"/>
              </w:rPr>
              <w:tab/>
            </w:r>
            <w:r w:rsidR="0060238B" w:rsidRPr="008C308C">
              <w:rPr>
                <w:rStyle w:val="Hyperlink"/>
                <w:noProof/>
                <w:lang w:val="hr-HR"/>
              </w:rPr>
              <w:t>MAKROEKONOMSKI OKVIR</w:t>
            </w:r>
            <w:r w:rsidR="0060238B">
              <w:rPr>
                <w:noProof/>
                <w:webHidden/>
              </w:rPr>
              <w:tab/>
            </w:r>
            <w:r w:rsidR="0060238B">
              <w:rPr>
                <w:noProof/>
                <w:webHidden/>
              </w:rPr>
              <w:fldChar w:fldCharType="begin"/>
            </w:r>
            <w:r w:rsidR="0060238B">
              <w:rPr>
                <w:noProof/>
                <w:webHidden/>
              </w:rPr>
              <w:instrText xml:space="preserve"> PAGEREF _Toc210305049 \h </w:instrText>
            </w:r>
            <w:r w:rsidR="0060238B">
              <w:rPr>
                <w:noProof/>
                <w:webHidden/>
              </w:rPr>
            </w:r>
            <w:r w:rsidR="0060238B">
              <w:rPr>
                <w:noProof/>
                <w:webHidden/>
              </w:rPr>
              <w:fldChar w:fldCharType="separate"/>
            </w:r>
            <w:r w:rsidR="00064A3E">
              <w:rPr>
                <w:noProof/>
                <w:webHidden/>
              </w:rPr>
              <w:t>4</w:t>
            </w:r>
            <w:r w:rsidR="0060238B">
              <w:rPr>
                <w:noProof/>
                <w:webHidden/>
              </w:rPr>
              <w:fldChar w:fldCharType="end"/>
            </w:r>
          </w:hyperlink>
        </w:p>
        <w:p w:rsidR="0060238B" w:rsidRDefault="008A2363">
          <w:pPr>
            <w:pStyle w:val="TOC1"/>
            <w:tabs>
              <w:tab w:val="left" w:pos="440"/>
              <w:tab w:val="right" w:leader="dot" w:pos="9062"/>
            </w:tabs>
            <w:rPr>
              <w:rFonts w:eastAsiaTheme="minorEastAsia"/>
              <w:noProof/>
              <w:lang w:val="hr-HR" w:eastAsia="hr-HR"/>
            </w:rPr>
          </w:pPr>
          <w:hyperlink w:anchor="_Toc210305050" w:history="1">
            <w:r w:rsidR="0060238B" w:rsidRPr="008C308C">
              <w:rPr>
                <w:rStyle w:val="Hyperlink"/>
                <w:noProof/>
                <w:lang w:val="hr-HR"/>
              </w:rPr>
              <w:t>3.</w:t>
            </w:r>
            <w:r w:rsidR="0060238B">
              <w:rPr>
                <w:rFonts w:eastAsiaTheme="minorEastAsia"/>
                <w:noProof/>
                <w:lang w:val="hr-HR" w:eastAsia="hr-HR"/>
              </w:rPr>
              <w:tab/>
            </w:r>
            <w:r w:rsidR="0060238B" w:rsidRPr="008C308C">
              <w:rPr>
                <w:rStyle w:val="Hyperlink"/>
                <w:noProof/>
                <w:lang w:val="hr-HR"/>
              </w:rPr>
              <w:t>PRIHODI DRŽAVNOG PRORAČUNA</w:t>
            </w:r>
            <w:r w:rsidR="0060238B">
              <w:rPr>
                <w:noProof/>
                <w:webHidden/>
              </w:rPr>
              <w:tab/>
            </w:r>
            <w:r w:rsidR="0060238B">
              <w:rPr>
                <w:noProof/>
                <w:webHidden/>
              </w:rPr>
              <w:fldChar w:fldCharType="begin"/>
            </w:r>
            <w:r w:rsidR="0060238B">
              <w:rPr>
                <w:noProof/>
                <w:webHidden/>
              </w:rPr>
              <w:instrText xml:space="preserve"> PAGEREF _Toc210305050 \h </w:instrText>
            </w:r>
            <w:r w:rsidR="0060238B">
              <w:rPr>
                <w:noProof/>
                <w:webHidden/>
              </w:rPr>
            </w:r>
            <w:r w:rsidR="0060238B">
              <w:rPr>
                <w:noProof/>
                <w:webHidden/>
              </w:rPr>
              <w:fldChar w:fldCharType="separate"/>
            </w:r>
            <w:r w:rsidR="00064A3E">
              <w:rPr>
                <w:noProof/>
                <w:webHidden/>
              </w:rPr>
              <w:t>5</w:t>
            </w:r>
            <w:r w:rsidR="0060238B">
              <w:rPr>
                <w:noProof/>
                <w:webHidden/>
              </w:rPr>
              <w:fldChar w:fldCharType="end"/>
            </w:r>
          </w:hyperlink>
        </w:p>
        <w:p w:rsidR="0060238B" w:rsidRDefault="008A2363">
          <w:pPr>
            <w:pStyle w:val="TOC1"/>
            <w:tabs>
              <w:tab w:val="left" w:pos="440"/>
              <w:tab w:val="right" w:leader="dot" w:pos="9062"/>
            </w:tabs>
            <w:rPr>
              <w:rFonts w:eastAsiaTheme="minorEastAsia"/>
              <w:noProof/>
              <w:lang w:val="hr-HR" w:eastAsia="hr-HR"/>
            </w:rPr>
          </w:pPr>
          <w:hyperlink w:anchor="_Toc210305051" w:history="1">
            <w:r w:rsidR="0060238B" w:rsidRPr="008C308C">
              <w:rPr>
                <w:rStyle w:val="Hyperlink"/>
                <w:noProof/>
                <w:lang w:val="hr-HR"/>
              </w:rPr>
              <w:t>4.</w:t>
            </w:r>
            <w:r w:rsidR="0060238B">
              <w:rPr>
                <w:rFonts w:eastAsiaTheme="minorEastAsia"/>
                <w:noProof/>
                <w:lang w:val="hr-HR" w:eastAsia="hr-HR"/>
              </w:rPr>
              <w:tab/>
            </w:r>
            <w:r w:rsidR="0060238B" w:rsidRPr="008C308C">
              <w:rPr>
                <w:rStyle w:val="Hyperlink"/>
                <w:noProof/>
                <w:lang w:val="hr-HR"/>
              </w:rPr>
              <w:t>RASHODI DRŽAVNOG PRORAČUNA</w:t>
            </w:r>
            <w:r w:rsidR="0060238B">
              <w:rPr>
                <w:noProof/>
                <w:webHidden/>
              </w:rPr>
              <w:tab/>
            </w:r>
            <w:r w:rsidR="0060238B">
              <w:rPr>
                <w:noProof/>
                <w:webHidden/>
              </w:rPr>
              <w:fldChar w:fldCharType="begin"/>
            </w:r>
            <w:r w:rsidR="0060238B">
              <w:rPr>
                <w:noProof/>
                <w:webHidden/>
              </w:rPr>
              <w:instrText xml:space="preserve"> PAGEREF _Toc210305051 \h </w:instrText>
            </w:r>
            <w:r w:rsidR="0060238B">
              <w:rPr>
                <w:noProof/>
                <w:webHidden/>
              </w:rPr>
            </w:r>
            <w:r w:rsidR="0060238B">
              <w:rPr>
                <w:noProof/>
                <w:webHidden/>
              </w:rPr>
              <w:fldChar w:fldCharType="separate"/>
            </w:r>
            <w:r w:rsidR="00064A3E">
              <w:rPr>
                <w:noProof/>
                <w:webHidden/>
              </w:rPr>
              <w:t>9</w:t>
            </w:r>
            <w:r w:rsidR="0060238B">
              <w:rPr>
                <w:noProof/>
                <w:webHidden/>
              </w:rPr>
              <w:fldChar w:fldCharType="end"/>
            </w:r>
          </w:hyperlink>
        </w:p>
        <w:p w:rsidR="0060238B" w:rsidRDefault="008A2363">
          <w:pPr>
            <w:pStyle w:val="TOC2"/>
            <w:tabs>
              <w:tab w:val="left" w:pos="880"/>
              <w:tab w:val="right" w:leader="dot" w:pos="9062"/>
            </w:tabs>
            <w:rPr>
              <w:rFonts w:eastAsiaTheme="minorEastAsia"/>
              <w:noProof/>
              <w:lang w:val="hr-HR" w:eastAsia="hr-HR"/>
            </w:rPr>
          </w:pPr>
          <w:hyperlink w:anchor="_Toc210305052" w:history="1">
            <w:r w:rsidR="0060238B" w:rsidRPr="008C308C">
              <w:rPr>
                <w:rStyle w:val="Hyperlink"/>
                <w:rFonts w:cstheme="minorHAnsi"/>
                <w:noProof/>
                <w:lang w:val="hr-HR"/>
              </w:rPr>
              <w:t>4.1.</w:t>
            </w:r>
            <w:r w:rsidR="0060238B">
              <w:rPr>
                <w:rFonts w:eastAsiaTheme="minorEastAsia"/>
                <w:noProof/>
                <w:lang w:val="hr-HR" w:eastAsia="hr-HR"/>
              </w:rPr>
              <w:tab/>
            </w:r>
            <w:r w:rsidR="0060238B" w:rsidRPr="008C308C">
              <w:rPr>
                <w:rStyle w:val="Hyperlink"/>
                <w:rFonts w:cstheme="minorHAnsi"/>
                <w:noProof/>
                <w:lang w:val="hr-HR"/>
              </w:rPr>
              <w:t>Obrazloženje rashoda po ekonomskoj klasifikaciji</w:t>
            </w:r>
            <w:r w:rsidR="0060238B">
              <w:rPr>
                <w:noProof/>
                <w:webHidden/>
              </w:rPr>
              <w:tab/>
            </w:r>
            <w:r w:rsidR="0060238B">
              <w:rPr>
                <w:noProof/>
                <w:webHidden/>
              </w:rPr>
              <w:fldChar w:fldCharType="begin"/>
            </w:r>
            <w:r w:rsidR="0060238B">
              <w:rPr>
                <w:noProof/>
                <w:webHidden/>
              </w:rPr>
              <w:instrText xml:space="preserve"> PAGEREF _Toc210305052 \h </w:instrText>
            </w:r>
            <w:r w:rsidR="0060238B">
              <w:rPr>
                <w:noProof/>
                <w:webHidden/>
              </w:rPr>
            </w:r>
            <w:r w:rsidR="0060238B">
              <w:rPr>
                <w:noProof/>
                <w:webHidden/>
              </w:rPr>
              <w:fldChar w:fldCharType="separate"/>
            </w:r>
            <w:r w:rsidR="00064A3E">
              <w:rPr>
                <w:noProof/>
                <w:webHidden/>
              </w:rPr>
              <w:t>11</w:t>
            </w:r>
            <w:r w:rsidR="0060238B">
              <w:rPr>
                <w:noProof/>
                <w:webHidden/>
              </w:rPr>
              <w:fldChar w:fldCharType="end"/>
            </w:r>
          </w:hyperlink>
        </w:p>
        <w:p w:rsidR="0060238B" w:rsidRDefault="008A2363">
          <w:pPr>
            <w:pStyle w:val="TOC2"/>
            <w:tabs>
              <w:tab w:val="left" w:pos="880"/>
              <w:tab w:val="right" w:leader="dot" w:pos="9062"/>
            </w:tabs>
            <w:rPr>
              <w:rFonts w:eastAsiaTheme="minorEastAsia"/>
              <w:noProof/>
              <w:lang w:val="hr-HR" w:eastAsia="hr-HR"/>
            </w:rPr>
          </w:pPr>
          <w:hyperlink w:anchor="_Toc210305053" w:history="1">
            <w:r w:rsidR="0060238B" w:rsidRPr="008C308C">
              <w:rPr>
                <w:rStyle w:val="Hyperlink"/>
                <w:rFonts w:cstheme="minorHAnsi"/>
                <w:noProof/>
                <w:lang w:val="hr-HR"/>
              </w:rPr>
              <w:t>4.2.</w:t>
            </w:r>
            <w:r w:rsidR="0060238B">
              <w:rPr>
                <w:rFonts w:eastAsiaTheme="minorEastAsia"/>
                <w:noProof/>
                <w:lang w:val="hr-HR" w:eastAsia="hr-HR"/>
              </w:rPr>
              <w:tab/>
            </w:r>
            <w:r w:rsidR="0060238B" w:rsidRPr="008C308C">
              <w:rPr>
                <w:rStyle w:val="Hyperlink"/>
                <w:rFonts w:cstheme="minorHAnsi"/>
                <w:noProof/>
                <w:lang w:val="hr-HR"/>
              </w:rPr>
              <w:t>Obrazloženje rashoda po funkcijskoj klasifikaciji</w:t>
            </w:r>
            <w:r w:rsidR="0060238B">
              <w:rPr>
                <w:noProof/>
                <w:webHidden/>
              </w:rPr>
              <w:tab/>
            </w:r>
            <w:r w:rsidR="0060238B">
              <w:rPr>
                <w:noProof/>
                <w:webHidden/>
              </w:rPr>
              <w:fldChar w:fldCharType="begin"/>
            </w:r>
            <w:r w:rsidR="0060238B">
              <w:rPr>
                <w:noProof/>
                <w:webHidden/>
              </w:rPr>
              <w:instrText xml:space="preserve"> PAGEREF _Toc210305053 \h </w:instrText>
            </w:r>
            <w:r w:rsidR="0060238B">
              <w:rPr>
                <w:noProof/>
                <w:webHidden/>
              </w:rPr>
            </w:r>
            <w:r w:rsidR="0060238B">
              <w:rPr>
                <w:noProof/>
                <w:webHidden/>
              </w:rPr>
              <w:fldChar w:fldCharType="separate"/>
            </w:r>
            <w:r w:rsidR="00064A3E">
              <w:rPr>
                <w:noProof/>
                <w:webHidden/>
              </w:rPr>
              <w:t>14</w:t>
            </w:r>
            <w:r w:rsidR="0060238B">
              <w:rPr>
                <w:noProof/>
                <w:webHidden/>
              </w:rPr>
              <w:fldChar w:fldCharType="end"/>
            </w:r>
          </w:hyperlink>
        </w:p>
        <w:p w:rsidR="0060238B" w:rsidRDefault="008A2363">
          <w:pPr>
            <w:pStyle w:val="TOC2"/>
            <w:tabs>
              <w:tab w:val="left" w:pos="880"/>
              <w:tab w:val="right" w:leader="dot" w:pos="9062"/>
            </w:tabs>
            <w:rPr>
              <w:rFonts w:eastAsiaTheme="minorEastAsia"/>
              <w:noProof/>
              <w:lang w:val="hr-HR" w:eastAsia="hr-HR"/>
            </w:rPr>
          </w:pPr>
          <w:hyperlink w:anchor="_Toc210305054" w:history="1">
            <w:r w:rsidR="0060238B" w:rsidRPr="008C308C">
              <w:rPr>
                <w:rStyle w:val="Hyperlink"/>
                <w:rFonts w:cstheme="minorHAnsi"/>
                <w:noProof/>
                <w:lang w:val="hr-HR"/>
              </w:rPr>
              <w:t>4.3.</w:t>
            </w:r>
            <w:r w:rsidR="0060238B">
              <w:rPr>
                <w:rFonts w:eastAsiaTheme="minorEastAsia"/>
                <w:noProof/>
                <w:lang w:val="hr-HR" w:eastAsia="hr-HR"/>
              </w:rPr>
              <w:tab/>
            </w:r>
            <w:r w:rsidR="0060238B" w:rsidRPr="008C308C">
              <w:rPr>
                <w:rStyle w:val="Hyperlink"/>
                <w:rFonts w:cstheme="minorHAnsi"/>
                <w:noProof/>
                <w:lang w:val="hr-HR"/>
              </w:rPr>
              <w:t>Obrazloženje rashoda po izvorima financiranja</w:t>
            </w:r>
            <w:r w:rsidR="0060238B">
              <w:rPr>
                <w:noProof/>
                <w:webHidden/>
              </w:rPr>
              <w:tab/>
            </w:r>
            <w:r w:rsidR="0060238B">
              <w:rPr>
                <w:noProof/>
                <w:webHidden/>
              </w:rPr>
              <w:fldChar w:fldCharType="begin"/>
            </w:r>
            <w:r w:rsidR="0060238B">
              <w:rPr>
                <w:noProof/>
                <w:webHidden/>
              </w:rPr>
              <w:instrText xml:space="preserve"> PAGEREF _Toc210305054 \h </w:instrText>
            </w:r>
            <w:r w:rsidR="0060238B">
              <w:rPr>
                <w:noProof/>
                <w:webHidden/>
              </w:rPr>
            </w:r>
            <w:r w:rsidR="0060238B">
              <w:rPr>
                <w:noProof/>
                <w:webHidden/>
              </w:rPr>
              <w:fldChar w:fldCharType="separate"/>
            </w:r>
            <w:r w:rsidR="00064A3E">
              <w:rPr>
                <w:noProof/>
                <w:webHidden/>
              </w:rPr>
              <w:t>15</w:t>
            </w:r>
            <w:r w:rsidR="0060238B">
              <w:rPr>
                <w:noProof/>
                <w:webHidden/>
              </w:rPr>
              <w:fldChar w:fldCharType="end"/>
            </w:r>
          </w:hyperlink>
        </w:p>
        <w:p w:rsidR="0060238B" w:rsidRDefault="008A2363">
          <w:pPr>
            <w:pStyle w:val="TOC1"/>
            <w:tabs>
              <w:tab w:val="left" w:pos="440"/>
              <w:tab w:val="right" w:leader="dot" w:pos="9062"/>
            </w:tabs>
            <w:rPr>
              <w:rFonts w:eastAsiaTheme="minorEastAsia"/>
              <w:noProof/>
              <w:lang w:val="hr-HR" w:eastAsia="hr-HR"/>
            </w:rPr>
          </w:pPr>
          <w:hyperlink w:anchor="_Toc210305055" w:history="1">
            <w:r w:rsidR="0060238B" w:rsidRPr="008C308C">
              <w:rPr>
                <w:rStyle w:val="Hyperlink"/>
                <w:noProof/>
                <w:lang w:val="hr-HR"/>
              </w:rPr>
              <w:t>5.</w:t>
            </w:r>
            <w:r w:rsidR="0060238B">
              <w:rPr>
                <w:rFonts w:eastAsiaTheme="minorEastAsia"/>
                <w:noProof/>
                <w:lang w:val="hr-HR" w:eastAsia="hr-HR"/>
              </w:rPr>
              <w:tab/>
            </w:r>
            <w:r w:rsidR="0060238B" w:rsidRPr="008C308C">
              <w:rPr>
                <w:rStyle w:val="Hyperlink"/>
                <w:noProof/>
                <w:lang w:val="hr-HR"/>
              </w:rPr>
              <w:t>UKUPNI MANJAK DRŽAVNOG PRORAČUNA</w:t>
            </w:r>
            <w:r w:rsidR="0060238B">
              <w:rPr>
                <w:noProof/>
                <w:webHidden/>
              </w:rPr>
              <w:tab/>
            </w:r>
            <w:r w:rsidR="0060238B">
              <w:rPr>
                <w:noProof/>
                <w:webHidden/>
              </w:rPr>
              <w:fldChar w:fldCharType="begin"/>
            </w:r>
            <w:r w:rsidR="0060238B">
              <w:rPr>
                <w:noProof/>
                <w:webHidden/>
              </w:rPr>
              <w:instrText xml:space="preserve"> PAGEREF _Toc210305055 \h </w:instrText>
            </w:r>
            <w:r w:rsidR="0060238B">
              <w:rPr>
                <w:noProof/>
                <w:webHidden/>
              </w:rPr>
            </w:r>
            <w:r w:rsidR="0060238B">
              <w:rPr>
                <w:noProof/>
                <w:webHidden/>
              </w:rPr>
              <w:fldChar w:fldCharType="separate"/>
            </w:r>
            <w:r w:rsidR="00064A3E">
              <w:rPr>
                <w:noProof/>
                <w:webHidden/>
              </w:rPr>
              <w:t>16</w:t>
            </w:r>
            <w:r w:rsidR="0060238B">
              <w:rPr>
                <w:noProof/>
                <w:webHidden/>
              </w:rPr>
              <w:fldChar w:fldCharType="end"/>
            </w:r>
          </w:hyperlink>
        </w:p>
        <w:p w:rsidR="0060238B" w:rsidRDefault="008A2363">
          <w:pPr>
            <w:pStyle w:val="TOC1"/>
            <w:tabs>
              <w:tab w:val="left" w:pos="440"/>
              <w:tab w:val="right" w:leader="dot" w:pos="9062"/>
            </w:tabs>
            <w:rPr>
              <w:rFonts w:eastAsiaTheme="minorEastAsia"/>
              <w:noProof/>
              <w:lang w:val="hr-HR" w:eastAsia="hr-HR"/>
            </w:rPr>
          </w:pPr>
          <w:hyperlink w:anchor="_Toc210305056" w:history="1">
            <w:r w:rsidR="0060238B" w:rsidRPr="008C308C">
              <w:rPr>
                <w:rStyle w:val="Hyperlink"/>
                <w:noProof/>
                <w:lang w:val="hr-HR"/>
              </w:rPr>
              <w:t>6.</w:t>
            </w:r>
            <w:r w:rsidR="0060238B">
              <w:rPr>
                <w:rFonts w:eastAsiaTheme="minorEastAsia"/>
                <w:noProof/>
                <w:lang w:val="hr-HR" w:eastAsia="hr-HR"/>
              </w:rPr>
              <w:tab/>
            </w:r>
            <w:r w:rsidR="0060238B" w:rsidRPr="008C308C">
              <w:rPr>
                <w:rStyle w:val="Hyperlink"/>
                <w:noProof/>
                <w:lang w:val="hr-HR"/>
              </w:rPr>
              <w:t>RAČUN FINANCIRANJA DRŽAVNOG PRORAČUNA</w:t>
            </w:r>
            <w:r w:rsidR="0060238B">
              <w:rPr>
                <w:noProof/>
                <w:webHidden/>
              </w:rPr>
              <w:tab/>
            </w:r>
            <w:r w:rsidR="0060238B">
              <w:rPr>
                <w:noProof/>
                <w:webHidden/>
              </w:rPr>
              <w:fldChar w:fldCharType="begin"/>
            </w:r>
            <w:r w:rsidR="0060238B">
              <w:rPr>
                <w:noProof/>
                <w:webHidden/>
              </w:rPr>
              <w:instrText xml:space="preserve"> PAGEREF _Toc210305056 \h </w:instrText>
            </w:r>
            <w:r w:rsidR="0060238B">
              <w:rPr>
                <w:noProof/>
                <w:webHidden/>
              </w:rPr>
            </w:r>
            <w:r w:rsidR="0060238B">
              <w:rPr>
                <w:noProof/>
                <w:webHidden/>
              </w:rPr>
              <w:fldChar w:fldCharType="separate"/>
            </w:r>
            <w:r w:rsidR="00064A3E">
              <w:rPr>
                <w:noProof/>
                <w:webHidden/>
              </w:rPr>
              <w:t>17</w:t>
            </w:r>
            <w:r w:rsidR="0060238B">
              <w:rPr>
                <w:noProof/>
                <w:webHidden/>
              </w:rPr>
              <w:fldChar w:fldCharType="end"/>
            </w:r>
          </w:hyperlink>
        </w:p>
        <w:p w:rsidR="0060238B" w:rsidRDefault="008A2363">
          <w:pPr>
            <w:pStyle w:val="TOC1"/>
            <w:tabs>
              <w:tab w:val="left" w:pos="440"/>
              <w:tab w:val="right" w:leader="dot" w:pos="9062"/>
            </w:tabs>
            <w:rPr>
              <w:rFonts w:eastAsiaTheme="minorEastAsia"/>
              <w:noProof/>
              <w:lang w:val="hr-HR" w:eastAsia="hr-HR"/>
            </w:rPr>
          </w:pPr>
          <w:hyperlink w:anchor="_Toc210305057" w:history="1">
            <w:r w:rsidR="0060238B" w:rsidRPr="008C308C">
              <w:rPr>
                <w:rStyle w:val="Hyperlink"/>
                <w:noProof/>
                <w:lang w:val="hr-HR"/>
              </w:rPr>
              <w:t>7.</w:t>
            </w:r>
            <w:r w:rsidR="0060238B">
              <w:rPr>
                <w:rFonts w:eastAsiaTheme="minorEastAsia"/>
                <w:noProof/>
                <w:lang w:val="hr-HR" w:eastAsia="hr-HR"/>
              </w:rPr>
              <w:tab/>
            </w:r>
            <w:r w:rsidR="0060238B" w:rsidRPr="008C308C">
              <w:rPr>
                <w:rStyle w:val="Hyperlink"/>
                <w:noProof/>
                <w:lang w:val="hr-HR"/>
              </w:rPr>
              <w:t>PROCJENA UKUPNOG MANJKA PRORAČUNA OPĆE DRŽAVE</w:t>
            </w:r>
            <w:r w:rsidR="0060238B">
              <w:rPr>
                <w:noProof/>
                <w:webHidden/>
              </w:rPr>
              <w:tab/>
            </w:r>
            <w:r w:rsidR="0060238B">
              <w:rPr>
                <w:noProof/>
                <w:webHidden/>
              </w:rPr>
              <w:fldChar w:fldCharType="begin"/>
            </w:r>
            <w:r w:rsidR="0060238B">
              <w:rPr>
                <w:noProof/>
                <w:webHidden/>
              </w:rPr>
              <w:instrText xml:space="preserve"> PAGEREF _Toc210305057 \h </w:instrText>
            </w:r>
            <w:r w:rsidR="0060238B">
              <w:rPr>
                <w:noProof/>
                <w:webHidden/>
              </w:rPr>
            </w:r>
            <w:r w:rsidR="0060238B">
              <w:rPr>
                <w:noProof/>
                <w:webHidden/>
              </w:rPr>
              <w:fldChar w:fldCharType="separate"/>
            </w:r>
            <w:r w:rsidR="00064A3E">
              <w:rPr>
                <w:noProof/>
                <w:webHidden/>
              </w:rPr>
              <w:t>19</w:t>
            </w:r>
            <w:r w:rsidR="0060238B">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p>
    <w:p w:rsidR="00025948" w:rsidRPr="009B5CBF" w:rsidRDefault="00025948" w:rsidP="00025948">
      <w:pPr>
        <w:rPr>
          <w:lang w:val="hr-HR"/>
        </w:rPr>
      </w:pPr>
      <w:r w:rsidRPr="009B5CBF">
        <w:rPr>
          <w:lang w:val="hr-HR"/>
        </w:rPr>
        <w:br w:type="page"/>
      </w:r>
    </w:p>
    <w:p w:rsidR="008D70EE" w:rsidRPr="00FD3AEC" w:rsidRDefault="00025948" w:rsidP="00831C04">
      <w:pPr>
        <w:pStyle w:val="Heading1"/>
        <w:numPr>
          <w:ilvl w:val="0"/>
          <w:numId w:val="1"/>
        </w:numPr>
        <w:spacing w:after="240"/>
        <w:rPr>
          <w:lang w:val="hr-HR"/>
        </w:rPr>
      </w:pPr>
      <w:bookmarkStart w:id="0" w:name="_Toc468888687"/>
      <w:bookmarkStart w:id="1" w:name="_Toc210305048"/>
      <w:r w:rsidRPr="00FD3AEC">
        <w:rPr>
          <w:lang w:val="hr-HR"/>
        </w:rPr>
        <w:lastRenderedPageBreak/>
        <w:t>UVOD</w:t>
      </w:r>
      <w:bookmarkEnd w:id="0"/>
      <w:bookmarkEnd w:id="1"/>
    </w:p>
    <w:p w:rsidR="00680DF2" w:rsidRPr="00FD3AEC" w:rsidRDefault="00680DF2" w:rsidP="00680DF2">
      <w:pPr>
        <w:jc w:val="both"/>
        <w:rPr>
          <w:lang w:val="hr-HR"/>
        </w:rPr>
      </w:pPr>
      <w:r w:rsidRPr="00FD3AEC">
        <w:rPr>
          <w:lang w:val="hr-HR"/>
        </w:rPr>
        <w:t xml:space="preserve">Izmjene i dopune Državnog proračuna za 2025. godinu karakterizira niz pozitivnih odrednica: nastavlja se s odgovornim upravljanjem javnim financijama te deficit i dug opće države ostaju ispod referentnih vrijednosti Europske unije, i dalje se radi na unapređenju </w:t>
      </w:r>
      <w:proofErr w:type="spellStart"/>
      <w:r w:rsidRPr="00FD3AEC">
        <w:rPr>
          <w:lang w:val="hr-HR"/>
        </w:rPr>
        <w:t>socio</w:t>
      </w:r>
      <w:proofErr w:type="spellEnd"/>
      <w:r w:rsidRPr="00FD3AEC">
        <w:rPr>
          <w:lang w:val="hr-HR"/>
        </w:rPr>
        <w:t xml:space="preserve">-ekonomskog statusa građana kroz unapređivanje adekvatnosti mirovina, plaća te socijalnih i </w:t>
      </w:r>
      <w:proofErr w:type="spellStart"/>
      <w:r w:rsidRPr="00FD3AEC">
        <w:rPr>
          <w:lang w:val="hr-HR"/>
        </w:rPr>
        <w:t>rodiljnih</w:t>
      </w:r>
      <w:proofErr w:type="spellEnd"/>
      <w:r w:rsidRPr="00FD3AEC">
        <w:rPr>
          <w:lang w:val="hr-HR"/>
        </w:rPr>
        <w:t xml:space="preserve"> naknada, a osiguran je i nastavak ciljanih potpora za najugroženije kroz 9. paket mjera Vlade RH.</w:t>
      </w:r>
    </w:p>
    <w:p w:rsidR="0010343D" w:rsidRDefault="009D0B0E" w:rsidP="007B291C">
      <w:pPr>
        <w:spacing w:after="160"/>
        <w:jc w:val="both"/>
        <w:rPr>
          <w:lang w:val="hr-HR"/>
        </w:rPr>
      </w:pPr>
      <w:r>
        <w:rPr>
          <w:lang w:val="hr-HR"/>
        </w:rPr>
        <w:t xml:space="preserve">Makroekonomski </w:t>
      </w:r>
      <w:r w:rsidR="008C69AC">
        <w:rPr>
          <w:lang w:val="hr-HR"/>
        </w:rPr>
        <w:t>o</w:t>
      </w:r>
      <w:r w:rsidR="008C69AC" w:rsidRPr="008C69AC">
        <w:rPr>
          <w:lang w:val="hr-HR"/>
        </w:rPr>
        <w:t xml:space="preserve">kvir </w:t>
      </w:r>
      <w:r w:rsidR="00680DF2">
        <w:rPr>
          <w:lang w:val="hr-HR"/>
        </w:rPr>
        <w:t>dokumenta</w:t>
      </w:r>
      <w:r w:rsidR="008C69AC" w:rsidRPr="008C69AC">
        <w:rPr>
          <w:lang w:val="hr-HR"/>
        </w:rPr>
        <w:t xml:space="preserve"> </w:t>
      </w:r>
      <w:r w:rsidRPr="008C69AC">
        <w:rPr>
          <w:lang w:val="hr-HR"/>
        </w:rPr>
        <w:t>definiran</w:t>
      </w:r>
      <w:r>
        <w:rPr>
          <w:lang w:val="hr-HR"/>
        </w:rPr>
        <w:t xml:space="preserve"> je u travnju </w:t>
      </w:r>
      <w:r w:rsidR="00680DF2">
        <w:rPr>
          <w:lang w:val="hr-HR"/>
        </w:rPr>
        <w:t>ove</w:t>
      </w:r>
      <w:r>
        <w:rPr>
          <w:lang w:val="hr-HR"/>
        </w:rPr>
        <w:t xml:space="preserve"> godine te je obilježen nastavkom povoljne dinamike gospodarskog </w:t>
      </w:r>
      <w:r w:rsidRPr="00DE3735">
        <w:rPr>
          <w:lang w:val="hr-HR"/>
        </w:rPr>
        <w:t xml:space="preserve">rasta. Tako se u 2025. godini predviđa rast BDP-a po stopi od 3,3 %, </w:t>
      </w:r>
      <w:r w:rsidR="00DE3735" w:rsidRPr="00DE3735">
        <w:rPr>
          <w:lang w:val="hr-HR"/>
        </w:rPr>
        <w:t>nakon rasta od 3,9% ostvarenog u prošloj godini.</w:t>
      </w:r>
      <w:r w:rsidR="00DE3735">
        <w:rPr>
          <w:lang w:val="hr-HR"/>
        </w:rPr>
        <w:t xml:space="preserve"> </w:t>
      </w:r>
      <w:r w:rsidR="00DE3735" w:rsidRPr="00DE3735">
        <w:rPr>
          <w:lang w:val="hr-HR"/>
        </w:rPr>
        <w:t>Osobna potrošnja te bruto investicije u fiksni kapital bit će glavni pokretači rasta BDP-a u 2025. godini, a pozitivan doprinos očekuje se i od državne potrošnje. S druge strane, neto inozemna potražnja ostvarit će negativan doprinos gospodarskom rastu.</w:t>
      </w:r>
      <w:r w:rsidR="004846B8">
        <w:rPr>
          <w:lang w:val="hr-HR"/>
        </w:rPr>
        <w:t xml:space="preserve"> Nadalje, visokofrekventni pokazatelji kao</w:t>
      </w:r>
      <w:r w:rsidR="0010343D">
        <w:rPr>
          <w:lang w:val="hr-HR"/>
        </w:rPr>
        <w:t xml:space="preserve"> i tržište rada</w:t>
      </w:r>
      <w:r w:rsidR="004846B8">
        <w:rPr>
          <w:lang w:val="hr-HR"/>
        </w:rPr>
        <w:t xml:space="preserve"> bilježe </w:t>
      </w:r>
      <w:r w:rsidR="008D70EE">
        <w:rPr>
          <w:lang w:val="hr-HR"/>
        </w:rPr>
        <w:t>povoljna</w:t>
      </w:r>
      <w:r w:rsidR="004846B8">
        <w:rPr>
          <w:lang w:val="hr-HR"/>
        </w:rPr>
        <w:t xml:space="preserve"> kretanja, uz izraženiju dinamiku potrošačkih cijena.</w:t>
      </w:r>
      <w:r w:rsidR="0010343D">
        <w:rPr>
          <w:lang w:val="hr-HR"/>
        </w:rPr>
        <w:t xml:space="preserve"> </w:t>
      </w:r>
    </w:p>
    <w:p w:rsidR="004846B8" w:rsidRDefault="004846B8" w:rsidP="007B291C">
      <w:pPr>
        <w:spacing w:after="160"/>
        <w:jc w:val="both"/>
        <w:rPr>
          <w:lang w:val="hr-HR"/>
        </w:rPr>
      </w:pPr>
      <w:r>
        <w:rPr>
          <w:lang w:val="hr-HR"/>
        </w:rPr>
        <w:t xml:space="preserve">U ovakvim uvjetima fiskalna politika u 2025. godini bit će obilježena rastom prihoda za 30 milijuna eura u odnosu na prvotni plan te će ukupno iznositi 33 milijarde eura. Pritom se značajno povećavaju </w:t>
      </w:r>
      <w:r w:rsidR="00E358A1">
        <w:rPr>
          <w:lang w:val="hr-HR"/>
        </w:rPr>
        <w:t xml:space="preserve">planirani </w:t>
      </w:r>
      <w:r>
        <w:rPr>
          <w:lang w:val="hr-HR"/>
        </w:rPr>
        <w:t xml:space="preserve">prihodi od </w:t>
      </w:r>
      <w:r w:rsidR="00845BB3">
        <w:rPr>
          <w:lang w:val="hr-HR"/>
        </w:rPr>
        <w:t>doprinosa</w:t>
      </w:r>
      <w:r w:rsidR="00E358A1">
        <w:rPr>
          <w:lang w:val="hr-HR"/>
        </w:rPr>
        <w:t xml:space="preserve"> te se smanjuju projicirani prihodi od poreza i imovine</w:t>
      </w:r>
      <w:r>
        <w:rPr>
          <w:lang w:val="hr-HR"/>
        </w:rPr>
        <w:t xml:space="preserve">. </w:t>
      </w:r>
      <w:r w:rsidR="008C69AC">
        <w:rPr>
          <w:lang w:val="hr-HR"/>
        </w:rPr>
        <w:t>Spomenuti rast</w:t>
      </w:r>
      <w:r w:rsidR="0022137F">
        <w:rPr>
          <w:lang w:val="hr-HR"/>
        </w:rPr>
        <w:t xml:space="preserve"> doprinosa, projiciran je temeljem dosadašnje dinamike prihoda po ovoj osnovi te očekivanih kretanja na tržištu rada. U</w:t>
      </w:r>
      <w:r w:rsidR="00E358A1">
        <w:rPr>
          <w:lang w:val="hr-HR"/>
        </w:rPr>
        <w:t xml:space="preserve"> </w:t>
      </w:r>
      <w:r w:rsidR="00845BB3">
        <w:rPr>
          <w:lang w:val="hr-HR"/>
        </w:rPr>
        <w:t xml:space="preserve">kategoriji </w:t>
      </w:r>
      <w:r w:rsidR="0022137F">
        <w:rPr>
          <w:lang w:val="hr-HR"/>
        </w:rPr>
        <w:t xml:space="preserve">poreza, pak, </w:t>
      </w:r>
      <w:r w:rsidR="00845BB3">
        <w:rPr>
          <w:lang w:val="hr-HR"/>
        </w:rPr>
        <w:t>planira</w:t>
      </w:r>
      <w:r w:rsidR="0022137F">
        <w:rPr>
          <w:lang w:val="hr-HR"/>
        </w:rPr>
        <w:t xml:space="preserve"> se</w:t>
      </w:r>
      <w:r w:rsidR="00845BB3">
        <w:rPr>
          <w:lang w:val="hr-HR"/>
        </w:rPr>
        <w:t xml:space="preserve"> povećanje prihoda od posebnih poreza i trošarina kao i smanjenje prihoda od pore</w:t>
      </w:r>
      <w:r w:rsidR="00E358A1">
        <w:rPr>
          <w:lang w:val="hr-HR"/>
        </w:rPr>
        <w:t xml:space="preserve">za na dodanu vrijednost te dobit. </w:t>
      </w:r>
      <w:r w:rsidR="0022137F">
        <w:rPr>
          <w:lang w:val="hr-HR"/>
        </w:rPr>
        <w:t>Porast originalne projekcije posebnih poreza i trošarina definiran je očekivanim kretanjem potrošnje pojedinih trošarinskih proizvoda</w:t>
      </w:r>
      <w:r w:rsidR="00D237A4">
        <w:rPr>
          <w:lang w:val="hr-HR"/>
        </w:rPr>
        <w:t>,</w:t>
      </w:r>
      <w:r w:rsidR="0022137F">
        <w:rPr>
          <w:lang w:val="hr-HR"/>
        </w:rPr>
        <w:t xml:space="preserve"> uzevši u obzir i učinke izmjena propisa u oporezivanju duhanskih proizvoda.</w:t>
      </w:r>
      <w:r w:rsidR="008D70EE">
        <w:rPr>
          <w:lang w:val="hr-HR"/>
        </w:rPr>
        <w:t xml:space="preserve"> Ovim planom, očekuju se manji prihodi od</w:t>
      </w:r>
      <w:r w:rsidR="002B4274">
        <w:rPr>
          <w:lang w:val="hr-HR"/>
        </w:rPr>
        <w:t xml:space="preserve"> kamata te od</w:t>
      </w:r>
      <w:r w:rsidR="008D70EE">
        <w:rPr>
          <w:lang w:val="hr-HR"/>
        </w:rPr>
        <w:t xml:space="preserve"> uplate dobiti trgovačkih društava u državnom vlasništvu u odnosu na prvotno planirane</w:t>
      </w:r>
      <w:r w:rsidR="008C69AC">
        <w:rPr>
          <w:lang w:val="hr-HR"/>
        </w:rPr>
        <w:t>, što se odražava u dinamici projiciranih prihoda od imovine</w:t>
      </w:r>
      <w:r w:rsidR="008D70EE">
        <w:rPr>
          <w:lang w:val="hr-HR"/>
        </w:rPr>
        <w:t>.</w:t>
      </w:r>
      <w:r w:rsidR="0022137F">
        <w:rPr>
          <w:lang w:val="hr-HR"/>
        </w:rPr>
        <w:t xml:space="preserve"> </w:t>
      </w:r>
      <w:r w:rsidR="008D70EE">
        <w:rPr>
          <w:lang w:val="hr-HR"/>
        </w:rPr>
        <w:t>Na kraju, v</w:t>
      </w:r>
      <w:r w:rsidR="00E358A1">
        <w:rPr>
          <w:lang w:val="hr-HR"/>
        </w:rPr>
        <w:t>alja spomenuti i prihod</w:t>
      </w:r>
      <w:r w:rsidR="00D237A4">
        <w:rPr>
          <w:lang w:val="hr-HR"/>
        </w:rPr>
        <w:t>e</w:t>
      </w:r>
      <w:r w:rsidR="00E358A1">
        <w:rPr>
          <w:lang w:val="hr-HR"/>
        </w:rPr>
        <w:t xml:space="preserve"> od pomoći koji su izravno vezani uz dinamiku projekata financiranih iz EU fondova</w:t>
      </w:r>
      <w:r w:rsidR="00D237A4">
        <w:rPr>
          <w:lang w:val="hr-HR"/>
        </w:rPr>
        <w:t>,</w:t>
      </w:r>
      <w:r w:rsidR="00E358A1">
        <w:rPr>
          <w:lang w:val="hr-HR"/>
        </w:rPr>
        <w:t xml:space="preserve"> kao i </w:t>
      </w:r>
      <w:r w:rsidR="00125FAC">
        <w:rPr>
          <w:lang w:val="hr-HR"/>
        </w:rPr>
        <w:t xml:space="preserve">iz </w:t>
      </w:r>
      <w:r w:rsidR="00E358A1">
        <w:rPr>
          <w:lang w:val="hr-HR"/>
        </w:rPr>
        <w:t>Mehanizma za oporavak i otpornost.</w:t>
      </w:r>
    </w:p>
    <w:p w:rsidR="00F03261" w:rsidRPr="00FD3AEC" w:rsidRDefault="008D70EE" w:rsidP="00E358A1">
      <w:pPr>
        <w:spacing w:after="160"/>
        <w:jc w:val="both"/>
        <w:rPr>
          <w:lang w:val="hr-HR"/>
        </w:rPr>
      </w:pPr>
      <w:r w:rsidRPr="00FD3AEC">
        <w:rPr>
          <w:lang w:val="hr-HR"/>
        </w:rPr>
        <w:t>Promatrano s rashodne strane, Izmjenama i dop</w:t>
      </w:r>
      <w:r w:rsidR="00D4278A" w:rsidRPr="00FD3AEC">
        <w:rPr>
          <w:lang w:val="hr-HR"/>
        </w:rPr>
        <w:t>unama Državnog proračuna za 2025</w:t>
      </w:r>
      <w:r w:rsidRPr="00FD3AEC">
        <w:rPr>
          <w:lang w:val="hr-HR"/>
        </w:rPr>
        <w:t xml:space="preserve">. godinu ukupni rashodi </w:t>
      </w:r>
      <w:r w:rsidR="00D4278A" w:rsidRPr="00FD3AEC">
        <w:rPr>
          <w:lang w:val="hr-HR"/>
        </w:rPr>
        <w:t xml:space="preserve">smanjuju se 223 milijuna eura u odnosu na prvotni plan te će ukupno iznositi 36,8 milijardi eura. Najznačajnija kretanja na stavkama rashoda vezana su uz osiguranje dodatnih sredstava za mirovine, plaće te </w:t>
      </w:r>
      <w:proofErr w:type="spellStart"/>
      <w:r w:rsidR="00D4278A" w:rsidRPr="00FD3AEC">
        <w:rPr>
          <w:lang w:val="hr-HR"/>
        </w:rPr>
        <w:t>inkluzivni</w:t>
      </w:r>
      <w:proofErr w:type="spellEnd"/>
      <w:r w:rsidR="00D4278A" w:rsidRPr="00FD3AEC">
        <w:rPr>
          <w:lang w:val="hr-HR"/>
        </w:rPr>
        <w:t xml:space="preserve"> dodatak. Ta sredstva su realizirana uštedama </w:t>
      </w:r>
      <w:r w:rsidR="000040EA">
        <w:rPr>
          <w:lang w:val="hr-HR"/>
        </w:rPr>
        <w:t xml:space="preserve">temeljem usklađivanja dinamike </w:t>
      </w:r>
      <w:r w:rsidR="00D4278A" w:rsidRPr="00FD3AEC">
        <w:rPr>
          <w:lang w:val="hr-HR"/>
        </w:rPr>
        <w:t xml:space="preserve">provedbe projekata te </w:t>
      </w:r>
      <w:proofErr w:type="spellStart"/>
      <w:r w:rsidR="00D4278A" w:rsidRPr="00FD3AEC">
        <w:rPr>
          <w:lang w:val="hr-HR"/>
        </w:rPr>
        <w:t>realokacijom</w:t>
      </w:r>
      <w:proofErr w:type="spellEnd"/>
      <w:r w:rsidR="00D4278A" w:rsidRPr="00FD3AEC">
        <w:rPr>
          <w:lang w:val="hr-HR"/>
        </w:rPr>
        <w:t xml:space="preserve"> dijela sredstava iz nacionalnih prema EU bespovratnim sredstvima. Ostvarene su i uštede temeljem postupnog otpuštanja mjera za zaštitu građana i gospodarstva od cjenovnih pritisaka</w:t>
      </w:r>
      <w:r w:rsidR="000040EA">
        <w:rPr>
          <w:lang w:val="hr-HR"/>
        </w:rPr>
        <w:t>,</w:t>
      </w:r>
      <w:r w:rsidR="00F03261" w:rsidRPr="00FD3AEC">
        <w:rPr>
          <w:lang w:val="hr-HR"/>
        </w:rPr>
        <w:t xml:space="preserve"> prvenstveno zbog stabilizacije cijena energenata na njihovim tržištima</w:t>
      </w:r>
      <w:r w:rsidR="00D4278A" w:rsidRPr="00FD3AEC">
        <w:rPr>
          <w:lang w:val="hr-HR"/>
        </w:rPr>
        <w:t xml:space="preserve">. </w:t>
      </w:r>
      <w:r w:rsidR="00F03261" w:rsidRPr="00FD3AEC">
        <w:rPr>
          <w:lang w:val="hr-HR"/>
        </w:rPr>
        <w:t xml:space="preserve">Istovremeno kroz 9. paket mjera Vlade RH građanima, javnom i neprofitnom sektoru te </w:t>
      </w:r>
      <w:r w:rsidR="00F03261" w:rsidRPr="008B29AC">
        <w:rPr>
          <w:lang w:val="hr-HR"/>
        </w:rPr>
        <w:t>poduzetnicima</w:t>
      </w:r>
      <w:r w:rsidR="008B29AC">
        <w:rPr>
          <w:lang w:val="hr-HR"/>
        </w:rPr>
        <w:t xml:space="preserve"> koji u pola godine potroše do 250.000 kWh struje</w:t>
      </w:r>
      <w:r w:rsidR="00F03261" w:rsidRPr="008B29AC">
        <w:rPr>
          <w:lang w:val="hr-HR"/>
        </w:rPr>
        <w:t xml:space="preserve"> o</w:t>
      </w:r>
      <w:r w:rsidR="00F03261" w:rsidRPr="00FD3AEC">
        <w:rPr>
          <w:lang w:val="hr-HR"/>
        </w:rPr>
        <w:t xml:space="preserve">siguravaju </w:t>
      </w:r>
      <w:r w:rsidR="000040EA">
        <w:rPr>
          <w:lang w:val="hr-HR"/>
        </w:rPr>
        <w:t xml:space="preserve">se </w:t>
      </w:r>
      <w:r w:rsidR="00F03261" w:rsidRPr="00FD3AEC">
        <w:rPr>
          <w:lang w:val="hr-HR"/>
        </w:rPr>
        <w:t xml:space="preserve">i dalje nešto pristupačnije cijene energenata nego što bi bile bez subvencija Vlade RH. Nastavlja se i s potporama ugroženim kupcima energenata te pružateljima socijalnih usluga kao i studentskim cijenama obroka te nezaposlenim braniteljima. </w:t>
      </w:r>
    </w:p>
    <w:p w:rsidR="00D46AB0" w:rsidRDefault="00F03261" w:rsidP="00F03261">
      <w:pPr>
        <w:spacing w:after="160"/>
        <w:jc w:val="both"/>
        <w:rPr>
          <w:lang w:val="hr-HR"/>
        </w:rPr>
      </w:pPr>
      <w:r>
        <w:rPr>
          <w:lang w:val="hr-HR"/>
        </w:rPr>
        <w:t>Nastavno na prethodno opisana kretanja</w:t>
      </w:r>
      <w:r w:rsidR="00E358A1" w:rsidRPr="00804A12">
        <w:rPr>
          <w:lang w:val="hr-HR"/>
        </w:rPr>
        <w:t xml:space="preserve"> prihoda i rashoda, očekuje se da će manjak opće države (prema ESA 2010 metodologiji) iznositi 2,9 % BDP-a u ovoj godini, dok će se istovremeno udio javnog duga u BDP-u smanjiti za 0,7 postotnih bodova u odnosu na prethodnu godinu te će iznositi 56,9% BDP-a do kraja 2025. godine.</w:t>
      </w:r>
      <w:r w:rsidR="00D46AB0">
        <w:rPr>
          <w:lang w:val="hr-HR"/>
        </w:rPr>
        <w:br w:type="page"/>
      </w:r>
    </w:p>
    <w:p w:rsidR="00025948" w:rsidRPr="009721F1" w:rsidRDefault="00025948" w:rsidP="00025948">
      <w:pPr>
        <w:pStyle w:val="Heading1"/>
        <w:numPr>
          <w:ilvl w:val="0"/>
          <w:numId w:val="1"/>
        </w:numPr>
        <w:rPr>
          <w:lang w:val="hr-HR"/>
        </w:rPr>
      </w:pPr>
      <w:bookmarkStart w:id="2" w:name="_Toc381720705"/>
      <w:bookmarkStart w:id="3" w:name="_Toc497069941"/>
      <w:bookmarkStart w:id="4" w:name="_Toc210305049"/>
      <w:r w:rsidRPr="009721F1">
        <w:rPr>
          <w:lang w:val="hr-HR"/>
        </w:rPr>
        <w:lastRenderedPageBreak/>
        <w:t>MAKROEKONOMSKI OKVIR</w:t>
      </w:r>
      <w:bookmarkEnd w:id="2"/>
      <w:bookmarkEnd w:id="3"/>
      <w:bookmarkEnd w:id="4"/>
    </w:p>
    <w:p w:rsidR="004C0D92" w:rsidRPr="00B2140F" w:rsidRDefault="004C0D92" w:rsidP="00196F0D">
      <w:pPr>
        <w:jc w:val="both"/>
        <w:rPr>
          <w:rFonts w:cs="Times New Roman"/>
          <w:highlight w:val="yellow"/>
          <w:lang w:val="hr-HR"/>
        </w:rPr>
      </w:pPr>
    </w:p>
    <w:p w:rsidR="009721F1" w:rsidRPr="00B13B88" w:rsidRDefault="009721F1" w:rsidP="00BE7D6C">
      <w:pPr>
        <w:spacing w:after="120"/>
        <w:jc w:val="both"/>
        <w:rPr>
          <w:lang w:val="hr-HR"/>
        </w:rPr>
      </w:pPr>
      <w:bookmarkStart w:id="5" w:name="_Toc6418609"/>
      <w:r w:rsidRPr="00B13B88">
        <w:rPr>
          <w:lang w:val="hr-HR"/>
        </w:rPr>
        <w:t xml:space="preserve">Makroekonomski okvir sastavljen je u </w:t>
      </w:r>
      <w:r w:rsidRPr="00BA40AB">
        <w:rPr>
          <w:lang w:val="hr-HR"/>
        </w:rPr>
        <w:t>travnju ove</w:t>
      </w:r>
      <w:r w:rsidRPr="00B13B88">
        <w:rPr>
          <w:lang w:val="hr-HR"/>
        </w:rPr>
        <w:t xml:space="preserve"> godine</w:t>
      </w:r>
      <w:r>
        <w:rPr>
          <w:lang w:val="hr-HR"/>
        </w:rPr>
        <w:t xml:space="preserve">, </w:t>
      </w:r>
      <w:r w:rsidRPr="00BA40AB">
        <w:rPr>
          <w:lang w:val="hr-HR"/>
        </w:rPr>
        <w:t>u okviru Izvješća o napretku u provedbi Nacionalnog srednjoročnog fiskalno-strukturnog plana Republike Hrvatske za 2024. i 2025. godinu.</w:t>
      </w:r>
      <w:r w:rsidRPr="00BA40AB">
        <w:rPr>
          <w:rStyle w:val="FootnoteReference"/>
          <w:lang w:val="hr-HR"/>
        </w:rPr>
        <w:footnoteReference w:id="1"/>
      </w:r>
      <w:r w:rsidRPr="00B13B88">
        <w:rPr>
          <w:lang w:val="hr-HR"/>
        </w:rPr>
        <w:t xml:space="preserve"> </w:t>
      </w:r>
      <w:r>
        <w:rPr>
          <w:lang w:val="hr-HR"/>
        </w:rPr>
        <w:t xml:space="preserve">Dosadašnja realna dinamika </w:t>
      </w:r>
      <w:r w:rsidRPr="00354D23">
        <w:rPr>
          <w:lang w:val="hr-HR"/>
        </w:rPr>
        <w:t>bruto domaćeg proizvoda</w:t>
      </w:r>
      <w:r>
        <w:rPr>
          <w:lang w:val="hr-HR"/>
        </w:rPr>
        <w:t xml:space="preserve"> Republike Hrvatske u 2025.</w:t>
      </w:r>
      <w:r w:rsidRPr="00354D23">
        <w:rPr>
          <w:lang w:val="hr-HR"/>
        </w:rPr>
        <w:t xml:space="preserve"> </w:t>
      </w:r>
      <w:r>
        <w:rPr>
          <w:lang w:val="hr-HR"/>
        </w:rPr>
        <w:t>godini, isto kao i kretanja na tržištu rada, u skladu su s navedenim makroekonomskim projekcijama. Pritom treba izdvojiti ipak nešto slabiju dinamiku osobne potrošnje u odnosu na očekivanja</w:t>
      </w:r>
      <w:r w:rsidRPr="008D232F">
        <w:rPr>
          <w:lang w:val="hr-HR"/>
        </w:rPr>
        <w:t>.</w:t>
      </w:r>
      <w:r>
        <w:rPr>
          <w:lang w:val="hr-HR"/>
        </w:rPr>
        <w:t xml:space="preserve"> Osim toga, dinamika potrošačkih cijena nešto je izraženija u prvoj polovici 2025. godine u usporedbi s predviđanjima iz travnja. </w:t>
      </w:r>
    </w:p>
    <w:p w:rsidR="00F62411" w:rsidRPr="009721F1" w:rsidRDefault="00F62411" w:rsidP="002D5B5F">
      <w:pPr>
        <w:spacing w:after="120"/>
        <w:jc w:val="both"/>
        <w:rPr>
          <w:rFonts w:ascii="Calibri" w:eastAsia="Calibri" w:hAnsi="Calibri" w:cs="Times New Roman"/>
          <w:b/>
          <w:bCs/>
          <w:i/>
          <w:color w:val="4F81BD"/>
          <w:sz w:val="24"/>
          <w:szCs w:val="18"/>
          <w:lang w:val="hr-HR"/>
        </w:rPr>
      </w:pPr>
      <w:r w:rsidRPr="009721F1">
        <w:rPr>
          <w:rFonts w:ascii="Calibri" w:eastAsia="Calibri" w:hAnsi="Calibri" w:cs="Times New Roman"/>
          <w:b/>
          <w:bCs/>
          <w:i/>
          <w:color w:val="4F81BD"/>
          <w:sz w:val="24"/>
          <w:szCs w:val="18"/>
          <w:lang w:val="hr-HR"/>
        </w:rPr>
        <w:t>Tablica</w:t>
      </w:r>
      <w:r w:rsidRPr="009721F1">
        <w:rPr>
          <w:rFonts w:ascii="Calibri" w:eastAsia="Calibri" w:hAnsi="Calibri" w:cs="Times New Roman"/>
          <w:b/>
          <w:bCs/>
          <w:i/>
          <w:color w:val="4F81BD"/>
          <w:sz w:val="24"/>
          <w:szCs w:val="18"/>
          <w:lang w:val="hr-HR"/>
        </w:rPr>
        <w:fldChar w:fldCharType="begin"/>
      </w:r>
      <w:r w:rsidRPr="009721F1">
        <w:rPr>
          <w:rFonts w:ascii="Calibri" w:eastAsia="Calibri" w:hAnsi="Calibri" w:cs="Times New Roman"/>
          <w:b/>
          <w:bCs/>
          <w:i/>
          <w:color w:val="4F81BD"/>
          <w:sz w:val="24"/>
          <w:szCs w:val="18"/>
          <w:lang w:val="hr-HR"/>
        </w:rPr>
        <w:instrText xml:space="preserve"> SEQ Tablica \* ARABIC </w:instrText>
      </w:r>
      <w:r w:rsidRPr="009721F1">
        <w:rPr>
          <w:rFonts w:ascii="Calibri" w:eastAsia="Calibri" w:hAnsi="Calibri" w:cs="Times New Roman"/>
          <w:b/>
          <w:bCs/>
          <w:i/>
          <w:color w:val="4F81BD"/>
          <w:sz w:val="24"/>
          <w:szCs w:val="18"/>
          <w:lang w:val="hr-HR"/>
        </w:rPr>
        <w:fldChar w:fldCharType="separate"/>
      </w:r>
      <w:r w:rsidR="00064A3E">
        <w:rPr>
          <w:rFonts w:ascii="Calibri" w:eastAsia="Calibri" w:hAnsi="Calibri" w:cs="Times New Roman"/>
          <w:b/>
          <w:bCs/>
          <w:i/>
          <w:noProof/>
          <w:color w:val="4F81BD"/>
          <w:sz w:val="24"/>
          <w:szCs w:val="18"/>
          <w:lang w:val="hr-HR"/>
        </w:rPr>
        <w:t>1</w:t>
      </w:r>
      <w:r w:rsidRPr="009721F1">
        <w:rPr>
          <w:rFonts w:ascii="Calibri" w:eastAsia="Calibri" w:hAnsi="Calibri" w:cs="Times New Roman"/>
          <w:b/>
          <w:bCs/>
          <w:i/>
          <w:color w:val="4F81BD"/>
          <w:sz w:val="24"/>
          <w:szCs w:val="18"/>
          <w:lang w:val="hr-HR"/>
        </w:rPr>
        <w:fldChar w:fldCharType="end"/>
      </w:r>
      <w:r w:rsidRPr="009721F1">
        <w:rPr>
          <w:rFonts w:ascii="Calibri" w:eastAsia="Calibri" w:hAnsi="Calibri" w:cs="Times New Roman"/>
          <w:b/>
          <w:bCs/>
          <w:i/>
          <w:color w:val="4F81BD"/>
          <w:sz w:val="24"/>
          <w:szCs w:val="18"/>
          <w:lang w:val="hr-HR"/>
        </w:rPr>
        <w:t>: Kretanja makroekonomskih pokazatelja Republike Hrvatske</w:t>
      </w:r>
      <w:r w:rsidRPr="009721F1">
        <w:rPr>
          <w:rFonts w:ascii="Calibri" w:eastAsia="Calibri" w:hAnsi="Calibri" w:cs="Times New Roman"/>
          <w:b/>
          <w:bCs/>
          <w:i/>
          <w:color w:val="4F81BD"/>
          <w:sz w:val="24"/>
          <w:szCs w:val="18"/>
          <w:lang w:val="hr-HR"/>
        </w:rPr>
        <w:tab/>
      </w:r>
    </w:p>
    <w:p w:rsidR="00BE7D6C" w:rsidRPr="00BE7D6C" w:rsidRDefault="009721F1" w:rsidP="00BE7D6C">
      <w:pPr>
        <w:spacing w:after="0"/>
        <w:jc w:val="both"/>
        <w:rPr>
          <w:sz w:val="16"/>
          <w:szCs w:val="16"/>
          <w:lang w:val="hr-HR"/>
        </w:rPr>
      </w:pPr>
      <w:r w:rsidRPr="00FF3022">
        <w:rPr>
          <w:noProof/>
          <w:lang w:val="hr-HR" w:eastAsia="hr-HR"/>
        </w:rPr>
        <w:drawing>
          <wp:inline distT="0" distB="0" distL="0" distR="0" wp14:anchorId="27B6CA74" wp14:editId="2A817E5D">
            <wp:extent cx="5590485" cy="2757830"/>
            <wp:effectExtent l="0" t="0" r="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6962" cy="2761025"/>
                    </a:xfrm>
                    <a:prstGeom prst="rect">
                      <a:avLst/>
                    </a:prstGeom>
                    <a:noFill/>
                    <a:ln>
                      <a:noFill/>
                    </a:ln>
                  </pic:spPr>
                </pic:pic>
              </a:graphicData>
            </a:graphic>
          </wp:inline>
        </w:drawing>
      </w:r>
      <w:r w:rsidR="00F62411" w:rsidRPr="00B2140F">
        <w:rPr>
          <w:rFonts w:ascii="Calibri" w:eastAsia="Calibri" w:hAnsi="Calibri" w:cs="Times New Roman"/>
          <w:b/>
          <w:bCs/>
          <w:i/>
          <w:color w:val="4F81BD"/>
          <w:sz w:val="24"/>
          <w:szCs w:val="18"/>
          <w:highlight w:val="yellow"/>
          <w:lang w:val="hr-HR"/>
        </w:rPr>
        <w:br/>
      </w:r>
      <w:bookmarkEnd w:id="5"/>
    </w:p>
    <w:p w:rsidR="00077291" w:rsidRPr="00BE257E" w:rsidRDefault="00355272" w:rsidP="00BE7D6C">
      <w:pPr>
        <w:spacing w:after="360"/>
        <w:jc w:val="both"/>
        <w:rPr>
          <w:lang w:val="hr-HR"/>
        </w:rPr>
      </w:pPr>
      <w:r w:rsidRPr="00620B1B">
        <w:rPr>
          <w:lang w:val="hr-HR"/>
        </w:rPr>
        <w:t>U prvoj</w:t>
      </w:r>
      <w:r w:rsidRPr="00B13B88">
        <w:rPr>
          <w:lang w:val="hr-HR"/>
        </w:rPr>
        <w:t xml:space="preserve"> polovici 202</w:t>
      </w:r>
      <w:r>
        <w:rPr>
          <w:lang w:val="hr-HR"/>
        </w:rPr>
        <w:t>5</w:t>
      </w:r>
      <w:r w:rsidRPr="00B13B88">
        <w:rPr>
          <w:lang w:val="hr-HR"/>
        </w:rPr>
        <w:t>. godine nastavljena su povoljna</w:t>
      </w:r>
      <w:r w:rsidRPr="00403E8F">
        <w:rPr>
          <w:lang w:val="hr-HR"/>
        </w:rPr>
        <w:t xml:space="preserve"> gospodars</w:t>
      </w:r>
      <w:r>
        <w:rPr>
          <w:lang w:val="hr-HR"/>
        </w:rPr>
        <w:t xml:space="preserve">ka </w:t>
      </w:r>
      <w:r w:rsidRPr="00403E8F">
        <w:rPr>
          <w:lang w:val="hr-HR"/>
        </w:rPr>
        <w:t xml:space="preserve">kretanja </w:t>
      </w:r>
      <w:r>
        <w:rPr>
          <w:lang w:val="hr-HR"/>
        </w:rPr>
        <w:t xml:space="preserve">iz </w:t>
      </w:r>
      <w:r w:rsidRPr="00B13B88">
        <w:rPr>
          <w:lang w:val="hr-HR"/>
        </w:rPr>
        <w:t>202</w:t>
      </w:r>
      <w:r>
        <w:rPr>
          <w:lang w:val="hr-HR"/>
        </w:rPr>
        <w:t>4</w:t>
      </w:r>
      <w:r w:rsidRPr="00B13B88">
        <w:rPr>
          <w:lang w:val="hr-HR"/>
        </w:rPr>
        <w:t xml:space="preserve">. </w:t>
      </w:r>
      <w:r>
        <w:rPr>
          <w:lang w:val="hr-HR"/>
        </w:rPr>
        <w:t xml:space="preserve">(kada je </w:t>
      </w:r>
      <w:r w:rsidRPr="00B13B88">
        <w:rPr>
          <w:lang w:val="hr-HR"/>
        </w:rPr>
        <w:t>realn</w:t>
      </w:r>
      <w:r>
        <w:rPr>
          <w:lang w:val="hr-HR"/>
        </w:rPr>
        <w:t xml:space="preserve">i </w:t>
      </w:r>
      <w:r w:rsidRPr="00B13B88">
        <w:rPr>
          <w:lang w:val="hr-HR"/>
        </w:rPr>
        <w:t xml:space="preserve">rast </w:t>
      </w:r>
      <w:r>
        <w:rPr>
          <w:lang w:val="hr-HR"/>
        </w:rPr>
        <w:t>BDP-a</w:t>
      </w:r>
      <w:r w:rsidRPr="00B13B88">
        <w:rPr>
          <w:lang w:val="hr-HR"/>
        </w:rPr>
        <w:t xml:space="preserve"> </w:t>
      </w:r>
      <w:r>
        <w:rPr>
          <w:lang w:val="hr-HR"/>
        </w:rPr>
        <w:t xml:space="preserve">iznosio čak </w:t>
      </w:r>
      <w:r w:rsidRPr="00B13B88">
        <w:rPr>
          <w:lang w:val="hr-HR"/>
        </w:rPr>
        <w:t>3</w:t>
      </w:r>
      <w:r>
        <w:rPr>
          <w:lang w:val="hr-HR"/>
        </w:rPr>
        <w:t>,9</w:t>
      </w:r>
      <w:r w:rsidRPr="00B13B88">
        <w:rPr>
          <w:lang w:val="hr-HR"/>
        </w:rPr>
        <w:t>%</w:t>
      </w:r>
      <w:r>
        <w:rPr>
          <w:lang w:val="hr-HR"/>
        </w:rPr>
        <w:t>)</w:t>
      </w:r>
      <w:r w:rsidRPr="00403E8F">
        <w:rPr>
          <w:lang w:val="hr-HR"/>
        </w:rPr>
        <w:t xml:space="preserve">, </w:t>
      </w:r>
      <w:r>
        <w:rPr>
          <w:lang w:val="hr-HR"/>
        </w:rPr>
        <w:t>iako nešto slabijim intenzitetom.</w:t>
      </w:r>
      <w:r w:rsidRPr="00403E8F">
        <w:rPr>
          <w:lang w:val="hr-HR"/>
        </w:rPr>
        <w:t xml:space="preserve"> </w:t>
      </w:r>
      <w:r>
        <w:rPr>
          <w:lang w:val="hr-HR"/>
        </w:rPr>
        <w:t>Najznačajniji doprinosi rastu BDP-a došli su od</w:t>
      </w:r>
      <w:r w:rsidRPr="00403E8F">
        <w:rPr>
          <w:lang w:val="hr-HR"/>
        </w:rPr>
        <w:t xml:space="preserve"> osobne potrošnje </w:t>
      </w:r>
      <w:r>
        <w:rPr>
          <w:lang w:val="hr-HR"/>
        </w:rPr>
        <w:t>te</w:t>
      </w:r>
      <w:r w:rsidRPr="00403E8F">
        <w:rPr>
          <w:lang w:val="hr-HR"/>
        </w:rPr>
        <w:t xml:space="preserve"> </w:t>
      </w:r>
      <w:r>
        <w:rPr>
          <w:lang w:val="hr-HR"/>
        </w:rPr>
        <w:t>izvoza roba</w:t>
      </w:r>
      <w:r w:rsidRPr="00403E8F">
        <w:rPr>
          <w:lang w:val="hr-HR"/>
        </w:rPr>
        <w:t>. Promatra</w:t>
      </w:r>
      <w:r>
        <w:rPr>
          <w:lang w:val="hr-HR"/>
        </w:rPr>
        <w:t>mo li dosad objavljene visoko</w:t>
      </w:r>
      <w:r w:rsidRPr="00403E8F">
        <w:rPr>
          <w:lang w:val="hr-HR"/>
        </w:rPr>
        <w:t xml:space="preserve">frekventne pokazatelje, </w:t>
      </w:r>
      <w:r>
        <w:rPr>
          <w:lang w:val="hr-HR"/>
        </w:rPr>
        <w:t>u</w:t>
      </w:r>
      <w:r w:rsidRPr="00B13B88">
        <w:rPr>
          <w:lang w:val="hr-HR"/>
        </w:rPr>
        <w:t xml:space="preserve"> industriji su nastavljena </w:t>
      </w:r>
      <w:r>
        <w:rPr>
          <w:lang w:val="hr-HR"/>
        </w:rPr>
        <w:t>pozitivna</w:t>
      </w:r>
      <w:r w:rsidRPr="00B13B88">
        <w:rPr>
          <w:lang w:val="hr-HR"/>
        </w:rPr>
        <w:t xml:space="preserve"> kretanja započeta krajem prethodne godine, pa je tako obujam industrijske proizvodnje zabilježio </w:t>
      </w:r>
      <w:r>
        <w:rPr>
          <w:lang w:val="hr-HR"/>
        </w:rPr>
        <w:t>međugodišnji rast</w:t>
      </w:r>
      <w:r w:rsidRPr="00B13B88">
        <w:rPr>
          <w:lang w:val="hr-HR"/>
        </w:rPr>
        <w:t xml:space="preserve"> od </w:t>
      </w:r>
      <w:r>
        <w:rPr>
          <w:lang w:val="hr-HR"/>
        </w:rPr>
        <w:t>3,5</w:t>
      </w:r>
      <w:r w:rsidRPr="00B13B88">
        <w:rPr>
          <w:lang w:val="hr-HR"/>
        </w:rPr>
        <w:t>% u prvih osam mjeseci 202</w:t>
      </w:r>
      <w:r>
        <w:rPr>
          <w:lang w:val="hr-HR"/>
        </w:rPr>
        <w:t>5</w:t>
      </w:r>
      <w:r w:rsidRPr="00B13B88">
        <w:rPr>
          <w:lang w:val="hr-HR"/>
        </w:rPr>
        <w:t>. godine.</w:t>
      </w:r>
      <w:r>
        <w:rPr>
          <w:lang w:val="hr-HR"/>
        </w:rPr>
        <w:t xml:space="preserve"> </w:t>
      </w:r>
      <w:r w:rsidRPr="00B13B88">
        <w:rPr>
          <w:lang w:val="hr-HR"/>
        </w:rPr>
        <w:t xml:space="preserve">Nakon </w:t>
      </w:r>
      <w:r>
        <w:rPr>
          <w:lang w:val="hr-HR"/>
        </w:rPr>
        <w:t>prigušenog</w:t>
      </w:r>
      <w:r w:rsidRPr="00B13B88">
        <w:rPr>
          <w:lang w:val="hr-HR"/>
        </w:rPr>
        <w:t xml:space="preserve"> rasta </w:t>
      </w:r>
      <w:r>
        <w:rPr>
          <w:lang w:val="hr-HR"/>
        </w:rPr>
        <w:t>početkom</w:t>
      </w:r>
      <w:r w:rsidRPr="00B13B88">
        <w:rPr>
          <w:lang w:val="hr-HR"/>
        </w:rPr>
        <w:t xml:space="preserve"> ove godine, došlo je do</w:t>
      </w:r>
      <w:r>
        <w:rPr>
          <w:lang w:val="hr-HR"/>
        </w:rPr>
        <w:t xml:space="preserve"> ponovnog</w:t>
      </w:r>
      <w:r w:rsidRPr="00B13B88">
        <w:rPr>
          <w:lang w:val="hr-HR"/>
        </w:rPr>
        <w:t xml:space="preserve"> </w:t>
      </w:r>
      <w:r>
        <w:rPr>
          <w:lang w:val="hr-HR"/>
        </w:rPr>
        <w:t>ubrzavanja</w:t>
      </w:r>
      <w:r w:rsidRPr="00B13B88">
        <w:rPr>
          <w:lang w:val="hr-HR"/>
        </w:rPr>
        <w:t xml:space="preserve"> rasta prometa u trgovini na malo te je u prvih osam mjeseci ostvaren realan rast od </w:t>
      </w:r>
      <w:r>
        <w:rPr>
          <w:lang w:val="hr-HR"/>
        </w:rPr>
        <w:t>3,8</w:t>
      </w:r>
      <w:r w:rsidRPr="00B13B88">
        <w:rPr>
          <w:lang w:val="hr-HR"/>
        </w:rPr>
        <w:t>%.</w:t>
      </w:r>
      <w:r w:rsidRPr="00A15B9D">
        <w:rPr>
          <w:lang w:val="hr-HR"/>
        </w:rPr>
        <w:t xml:space="preserve"> </w:t>
      </w:r>
      <w:r>
        <w:rPr>
          <w:lang w:val="hr-HR"/>
        </w:rPr>
        <w:t>U</w:t>
      </w:r>
      <w:r w:rsidRPr="00403E8F">
        <w:rPr>
          <w:lang w:val="hr-HR"/>
        </w:rPr>
        <w:t xml:space="preserve"> prvih </w:t>
      </w:r>
      <w:r>
        <w:rPr>
          <w:lang w:val="hr-HR"/>
        </w:rPr>
        <w:t>sedam</w:t>
      </w:r>
      <w:r w:rsidRPr="00403E8F">
        <w:rPr>
          <w:lang w:val="hr-HR"/>
        </w:rPr>
        <w:t xml:space="preserve"> mjeseci 202</w:t>
      </w:r>
      <w:r>
        <w:rPr>
          <w:lang w:val="hr-HR"/>
        </w:rPr>
        <w:t>5</w:t>
      </w:r>
      <w:r w:rsidRPr="00403E8F">
        <w:rPr>
          <w:lang w:val="hr-HR"/>
        </w:rPr>
        <w:t>. ostvaren je rast broja komercijalnih turističkih noćenja od 1,</w:t>
      </w:r>
      <w:r>
        <w:rPr>
          <w:lang w:val="hr-HR"/>
        </w:rPr>
        <w:t>6</w:t>
      </w:r>
      <w:r w:rsidRPr="00403E8F">
        <w:rPr>
          <w:lang w:val="hr-HR"/>
        </w:rPr>
        <w:t>% u odnosu na isto razdoblje</w:t>
      </w:r>
      <w:r w:rsidRPr="00A15B9D">
        <w:rPr>
          <w:lang w:val="hr-HR"/>
        </w:rPr>
        <w:t xml:space="preserve"> </w:t>
      </w:r>
      <w:r w:rsidRPr="00B13B88">
        <w:rPr>
          <w:lang w:val="hr-HR"/>
        </w:rPr>
        <w:t>prošle godine</w:t>
      </w:r>
      <w:r>
        <w:rPr>
          <w:lang w:val="hr-HR"/>
        </w:rPr>
        <w:t xml:space="preserve"> dok je o</w:t>
      </w:r>
      <w:r w:rsidRPr="00A15B9D">
        <w:rPr>
          <w:lang w:val="hr-HR"/>
        </w:rPr>
        <w:t xml:space="preserve">bujam građevinskih radova ostvario </w:t>
      </w:r>
      <w:r>
        <w:rPr>
          <w:lang w:val="hr-HR"/>
        </w:rPr>
        <w:t xml:space="preserve">međugodišnji </w:t>
      </w:r>
      <w:r w:rsidRPr="00A15B9D">
        <w:rPr>
          <w:lang w:val="hr-HR"/>
        </w:rPr>
        <w:t xml:space="preserve">rast od </w:t>
      </w:r>
      <w:r>
        <w:rPr>
          <w:lang w:val="hr-HR"/>
        </w:rPr>
        <w:t>8,8</w:t>
      </w:r>
      <w:r w:rsidRPr="00A15B9D">
        <w:rPr>
          <w:lang w:val="hr-HR"/>
        </w:rPr>
        <w:t>%</w:t>
      </w:r>
      <w:r w:rsidRPr="00B13B88">
        <w:rPr>
          <w:lang w:val="hr-HR"/>
        </w:rPr>
        <w:t xml:space="preserve">. </w:t>
      </w:r>
      <w:r w:rsidRPr="004310F0">
        <w:rPr>
          <w:lang w:val="hr-HR"/>
        </w:rPr>
        <w:t>Tijekom 202</w:t>
      </w:r>
      <w:r>
        <w:rPr>
          <w:lang w:val="hr-HR"/>
        </w:rPr>
        <w:t>5</w:t>
      </w:r>
      <w:r w:rsidRPr="004310F0">
        <w:rPr>
          <w:lang w:val="hr-HR"/>
        </w:rPr>
        <w:t xml:space="preserve">. bilježi se </w:t>
      </w:r>
      <w:r>
        <w:rPr>
          <w:lang w:val="hr-HR"/>
        </w:rPr>
        <w:t>ponovno ubrzanje</w:t>
      </w:r>
      <w:r w:rsidRPr="004310F0">
        <w:rPr>
          <w:lang w:val="hr-HR"/>
        </w:rPr>
        <w:t xml:space="preserve"> inflacije potrošačkih cijena</w:t>
      </w:r>
      <w:r>
        <w:rPr>
          <w:lang w:val="hr-HR"/>
        </w:rPr>
        <w:t>,</w:t>
      </w:r>
      <w:r w:rsidRPr="004310F0">
        <w:rPr>
          <w:lang w:val="hr-HR"/>
        </w:rPr>
        <w:t xml:space="preserve"> koja je u </w:t>
      </w:r>
      <w:r>
        <w:rPr>
          <w:lang w:val="hr-HR"/>
        </w:rPr>
        <w:t>kolovozu</w:t>
      </w:r>
      <w:r w:rsidRPr="004310F0">
        <w:rPr>
          <w:lang w:val="hr-HR"/>
        </w:rPr>
        <w:t xml:space="preserve"> dosegnula razinu od </w:t>
      </w:r>
      <w:r>
        <w:rPr>
          <w:lang w:val="hr-HR"/>
        </w:rPr>
        <w:t>4,1</w:t>
      </w:r>
      <w:r w:rsidRPr="004310F0">
        <w:rPr>
          <w:lang w:val="hr-HR"/>
        </w:rPr>
        <w:t>%</w:t>
      </w:r>
      <w:r>
        <w:rPr>
          <w:lang w:val="hr-HR"/>
        </w:rPr>
        <w:t>. Pritom je ubrzavanje</w:t>
      </w:r>
      <w:r w:rsidRPr="004310F0">
        <w:rPr>
          <w:lang w:val="hr-HR"/>
        </w:rPr>
        <w:t xml:space="preserve"> inflacije </w:t>
      </w:r>
      <w:r>
        <w:rPr>
          <w:lang w:val="hr-HR"/>
        </w:rPr>
        <w:t>bilo najizraženije kod</w:t>
      </w:r>
      <w:r w:rsidRPr="004310F0">
        <w:rPr>
          <w:lang w:val="hr-HR"/>
        </w:rPr>
        <w:t xml:space="preserve"> cijena </w:t>
      </w:r>
      <w:r>
        <w:rPr>
          <w:lang w:val="hr-HR"/>
        </w:rPr>
        <w:t>hrane</w:t>
      </w:r>
      <w:r w:rsidRPr="004310F0">
        <w:rPr>
          <w:lang w:val="hr-HR"/>
        </w:rPr>
        <w:t>,</w:t>
      </w:r>
      <w:r>
        <w:rPr>
          <w:lang w:val="hr-HR"/>
        </w:rPr>
        <w:t xml:space="preserve"> dok je i </w:t>
      </w:r>
      <w:r w:rsidRPr="004310F0">
        <w:rPr>
          <w:lang w:val="hr-HR"/>
        </w:rPr>
        <w:t>nadalje prisutna re</w:t>
      </w:r>
      <w:r>
        <w:rPr>
          <w:lang w:val="hr-HR"/>
        </w:rPr>
        <w:t>lativno snažna inflacija cijena</w:t>
      </w:r>
      <w:r w:rsidRPr="004310F0">
        <w:rPr>
          <w:lang w:val="hr-HR"/>
        </w:rPr>
        <w:t xml:space="preserve"> usluga.</w:t>
      </w:r>
      <w:r>
        <w:rPr>
          <w:lang w:val="hr-HR"/>
        </w:rPr>
        <w:t xml:space="preserve"> </w:t>
      </w:r>
      <w:r w:rsidRPr="00167F1B">
        <w:rPr>
          <w:lang w:val="hr-HR"/>
        </w:rPr>
        <w:t xml:space="preserve">Na tržištu rada nastavljena su povoljna kretanja te je broj osiguranika mirovinskog osiguranja u </w:t>
      </w:r>
      <w:r>
        <w:rPr>
          <w:lang w:val="hr-HR"/>
        </w:rPr>
        <w:t>prvih osam mjeseci 2025</w:t>
      </w:r>
      <w:r w:rsidRPr="00167F1B">
        <w:rPr>
          <w:lang w:val="hr-HR"/>
        </w:rPr>
        <w:t xml:space="preserve">. prosječno </w:t>
      </w:r>
      <w:r>
        <w:rPr>
          <w:lang w:val="hr-HR"/>
        </w:rPr>
        <w:t>rastao po međugodišnjoj stopi od</w:t>
      </w:r>
      <w:r w:rsidRPr="00167F1B">
        <w:rPr>
          <w:lang w:val="hr-HR"/>
        </w:rPr>
        <w:t xml:space="preserve"> </w:t>
      </w:r>
      <w:r>
        <w:rPr>
          <w:lang w:val="hr-HR"/>
        </w:rPr>
        <w:t>2,8%</w:t>
      </w:r>
      <w:r w:rsidRPr="00167F1B">
        <w:rPr>
          <w:lang w:val="hr-HR"/>
        </w:rPr>
        <w:t xml:space="preserve">, dok </w:t>
      </w:r>
      <w:r>
        <w:rPr>
          <w:lang w:val="hr-HR"/>
        </w:rPr>
        <w:t>s</w:t>
      </w:r>
      <w:r w:rsidRPr="00167F1B">
        <w:rPr>
          <w:lang w:val="hr-HR"/>
        </w:rPr>
        <w:t xml:space="preserve">e </w:t>
      </w:r>
      <w:r w:rsidRPr="004310F0">
        <w:rPr>
          <w:lang w:val="hr-HR"/>
        </w:rPr>
        <w:t xml:space="preserve">administrativna stopa nezaposlenosti </w:t>
      </w:r>
      <w:r>
        <w:rPr>
          <w:lang w:val="hr-HR"/>
        </w:rPr>
        <w:t>nalazi na povijesno niskim razinama.</w:t>
      </w:r>
      <w:r w:rsidR="00BE257E">
        <w:rPr>
          <w:lang w:val="hr-HR"/>
        </w:rPr>
        <w:br w:type="page"/>
      </w:r>
    </w:p>
    <w:p w:rsidR="00025948" w:rsidRPr="009B5CBF" w:rsidRDefault="00025948" w:rsidP="00025948">
      <w:pPr>
        <w:pStyle w:val="Heading1"/>
        <w:numPr>
          <w:ilvl w:val="0"/>
          <w:numId w:val="1"/>
        </w:numPr>
        <w:rPr>
          <w:lang w:val="hr-HR"/>
        </w:rPr>
      </w:pPr>
      <w:bookmarkStart w:id="6" w:name="_Toc210305050"/>
      <w:r w:rsidRPr="009B5CBF">
        <w:rPr>
          <w:lang w:val="hr-HR"/>
        </w:rPr>
        <w:lastRenderedPageBreak/>
        <w:t>PRIHODI DRŽAVNOG PRORAČUNA</w:t>
      </w:r>
      <w:bookmarkEnd w:id="6"/>
      <w:r w:rsidRPr="009B5CBF">
        <w:rPr>
          <w:lang w:val="hr-HR"/>
        </w:rPr>
        <w:t xml:space="preserve"> </w:t>
      </w:r>
    </w:p>
    <w:p w:rsidR="0054100C" w:rsidRDefault="0054100C" w:rsidP="0076522F">
      <w:pPr>
        <w:pStyle w:val="Caption"/>
        <w:spacing w:before="240" w:after="120"/>
        <w:jc w:val="both"/>
        <w:rPr>
          <w:rFonts w:asciiTheme="minorHAnsi" w:hAnsiTheme="minorHAnsi"/>
          <w:b w:val="0"/>
          <w:sz w:val="22"/>
          <w:szCs w:val="22"/>
        </w:rPr>
      </w:pPr>
    </w:p>
    <w:p w:rsidR="003F2EF0" w:rsidRPr="004964F3" w:rsidRDefault="003F2EF0" w:rsidP="003F2EF0">
      <w:pPr>
        <w:spacing w:before="240"/>
        <w:jc w:val="both"/>
        <w:rPr>
          <w:rFonts w:ascii="Calibri" w:hAnsi="Calibri" w:cs="Calibri"/>
          <w:color w:val="000000"/>
          <w:shd w:val="clear" w:color="auto" w:fill="FFFFFF"/>
          <w:lang w:val="hr-HR"/>
        </w:rPr>
      </w:pPr>
      <w:r w:rsidRPr="003E2AE9">
        <w:rPr>
          <w:lang w:val="hr-HR"/>
        </w:rPr>
        <w:t>Prihodi državnog proračuna planirani Izmjenama i dopunama Državnog proračuna Republike Hrvatske za 202</w:t>
      </w:r>
      <w:r>
        <w:rPr>
          <w:lang w:val="hr-HR"/>
        </w:rPr>
        <w:t>5</w:t>
      </w:r>
      <w:r w:rsidRPr="003E2AE9">
        <w:rPr>
          <w:lang w:val="hr-HR"/>
        </w:rPr>
        <w:t xml:space="preserve">. godinu temelje se na očekivanom kretanju gospodarske aktivnosti, </w:t>
      </w:r>
      <w:r w:rsidRPr="00FB5931">
        <w:rPr>
          <w:rFonts w:ascii="Calibri" w:hAnsi="Calibri" w:cs="Calibri"/>
          <w:color w:val="000000"/>
          <w:shd w:val="clear" w:color="auto" w:fill="FFFFFF"/>
          <w:lang w:val="hr-HR"/>
        </w:rPr>
        <w:t xml:space="preserve">uzimajući u obzir cjelogodišnji fiskalni učinak </w:t>
      </w:r>
      <w:r>
        <w:rPr>
          <w:rFonts w:ascii="Calibri" w:hAnsi="Calibri" w:cs="Calibri"/>
          <w:color w:val="000000"/>
          <w:shd w:val="clear" w:color="auto" w:fill="FFFFFF"/>
          <w:lang w:val="hr-HR"/>
        </w:rPr>
        <w:t xml:space="preserve">mjera koje je Vlada RH donijela u svrhu zaštite kućanstava i gospodarstva od rasta cijena, </w:t>
      </w:r>
      <w:r w:rsidRPr="00FB5931">
        <w:rPr>
          <w:rFonts w:ascii="Calibri" w:hAnsi="Calibri" w:cs="Calibri"/>
          <w:color w:val="000000"/>
          <w:shd w:val="clear" w:color="auto" w:fill="FFFFFF"/>
          <w:lang w:val="hr-HR"/>
        </w:rPr>
        <w:t>kao i</w:t>
      </w:r>
      <w:r>
        <w:rPr>
          <w:rFonts w:ascii="Calibri" w:hAnsi="Calibri" w:cs="Calibri"/>
          <w:color w:val="000000"/>
          <w:shd w:val="clear" w:color="auto" w:fill="FFFFFF"/>
          <w:lang w:val="hr-HR"/>
        </w:rPr>
        <w:t xml:space="preserve"> učinak porezne reforme koja je stupila na snagu od 1. siječnja 2025. </w:t>
      </w:r>
      <w:r w:rsidRPr="00B92193">
        <w:rPr>
          <w:rFonts w:ascii="Calibri" w:hAnsi="Calibri" w:cs="Calibri"/>
          <w:color w:val="000000"/>
          <w:shd w:val="clear" w:color="auto" w:fill="FFFFFF"/>
          <w:lang w:val="hr-HR"/>
        </w:rPr>
        <w:t>Značajan učinak na prihode proračuna imaju i sredstva pomoći</w:t>
      </w:r>
      <w:r w:rsidRPr="00607FE4">
        <w:rPr>
          <w:rFonts w:ascii="Calibri" w:hAnsi="Calibri" w:cs="Calibri"/>
          <w:color w:val="000000"/>
          <w:shd w:val="clear" w:color="auto" w:fill="FFFFFF"/>
          <w:lang w:val="hr-HR"/>
        </w:rPr>
        <w:t xml:space="preserve"> institucija i tijela EU. To se ponajprije odnosi na sredstva iz novog Višegodišnjeg financijskog okvira 2021. – 2027. te iz Mehanizma za oporavak i </w:t>
      </w:r>
      <w:r w:rsidRPr="004964F3">
        <w:rPr>
          <w:rFonts w:ascii="Calibri" w:hAnsi="Calibri" w:cs="Calibri"/>
          <w:color w:val="000000"/>
          <w:shd w:val="clear" w:color="auto" w:fill="FFFFFF"/>
          <w:lang w:val="hr-HR"/>
        </w:rPr>
        <w:t xml:space="preserve">otpornost, kojima se jača oporavak i otpornost gospodarstva. </w:t>
      </w:r>
    </w:p>
    <w:p w:rsidR="003F2EF0" w:rsidRPr="004964F3" w:rsidRDefault="003F2EF0" w:rsidP="003F2EF0">
      <w:pPr>
        <w:spacing w:before="240"/>
        <w:jc w:val="both"/>
        <w:rPr>
          <w:rFonts w:ascii="Calibri" w:hAnsi="Calibri" w:cs="Calibri"/>
          <w:color w:val="000000"/>
          <w:shd w:val="clear" w:color="auto" w:fill="FFFFFF"/>
          <w:lang w:val="hr-HR"/>
        </w:rPr>
      </w:pPr>
      <w:r w:rsidRPr="004964F3">
        <w:rPr>
          <w:lang w:val="hr-HR"/>
        </w:rPr>
        <w:t>Izmjenom Zakona o PDV-u podignut je prag za ulazak u sustav PDV-a s 40.000 na 50.000 eura. Izmjenama Zakona o doprinosima, ukinuto je oslobođenje od obveze plaćanja doprinosa u trajanju do 5 godina za zdravstveno osiguranje mladih zaposlenika do 30 godina. Međutim, i dalje je ostalo na snazi oslobođenje od doprinosa za obvezno zdravstveno osiguranje na plaću radnika koji se prvi put zapošljava (osoba bez radnog staža) do jedne godine.</w:t>
      </w:r>
    </w:p>
    <w:p w:rsidR="00E22609" w:rsidRDefault="003F2EF0" w:rsidP="0068374C">
      <w:pPr>
        <w:jc w:val="both"/>
        <w:rPr>
          <w:lang w:val="hr-HR"/>
        </w:rPr>
      </w:pPr>
      <w:r>
        <w:rPr>
          <w:lang w:val="hr-HR"/>
        </w:rPr>
        <w:t>Uzevši u obzir navedeno, n</w:t>
      </w:r>
      <w:r w:rsidRPr="003E2AE9">
        <w:rPr>
          <w:lang w:val="hr-HR"/>
        </w:rPr>
        <w:t>ovim planom proračuna za</w:t>
      </w:r>
      <w:r>
        <w:rPr>
          <w:lang w:val="hr-HR"/>
        </w:rPr>
        <w:t xml:space="preserve"> 2025</w:t>
      </w:r>
      <w:r w:rsidRPr="003E2AE9">
        <w:rPr>
          <w:lang w:val="hr-HR"/>
        </w:rPr>
        <w:t xml:space="preserve">. godinu ukupni prihodi </w:t>
      </w:r>
      <w:r w:rsidRPr="00D77D7E">
        <w:rPr>
          <w:lang w:val="hr-HR"/>
        </w:rPr>
        <w:t xml:space="preserve">iznose </w:t>
      </w:r>
      <w:r w:rsidR="00E22609">
        <w:rPr>
          <w:lang w:val="hr-HR"/>
        </w:rPr>
        <w:t>33</w:t>
      </w:r>
      <w:r w:rsidRPr="00D77D7E">
        <w:rPr>
          <w:lang w:val="hr-HR"/>
        </w:rPr>
        <w:t xml:space="preserve"> milijard</w:t>
      </w:r>
      <w:r>
        <w:rPr>
          <w:lang w:val="hr-HR"/>
        </w:rPr>
        <w:t>i</w:t>
      </w:r>
      <w:r w:rsidRPr="00D77D7E">
        <w:rPr>
          <w:lang w:val="hr-HR"/>
        </w:rPr>
        <w:t xml:space="preserve"> eura. Pritom</w:t>
      </w:r>
      <w:r w:rsidRPr="003E2AE9">
        <w:rPr>
          <w:lang w:val="hr-HR"/>
        </w:rPr>
        <w:t xml:space="preserve"> prihodi poslovanja </w:t>
      </w:r>
      <w:r w:rsidRPr="00E22609">
        <w:rPr>
          <w:lang w:val="hr-HR"/>
        </w:rPr>
        <w:t>iznose 32,</w:t>
      </w:r>
      <w:r w:rsidR="00E22609" w:rsidRPr="00E22609">
        <w:rPr>
          <w:lang w:val="hr-HR"/>
        </w:rPr>
        <w:t>9</w:t>
      </w:r>
      <w:r w:rsidRPr="00E22609">
        <w:rPr>
          <w:lang w:val="hr-HR"/>
        </w:rPr>
        <w:t xml:space="preserve"> milijardi</w:t>
      </w:r>
      <w:r>
        <w:rPr>
          <w:lang w:val="hr-HR"/>
        </w:rPr>
        <w:t xml:space="preserve"> eura</w:t>
      </w:r>
      <w:r w:rsidRPr="003E2AE9">
        <w:rPr>
          <w:lang w:val="hr-HR"/>
        </w:rPr>
        <w:t xml:space="preserve">, a </w:t>
      </w:r>
      <w:r>
        <w:rPr>
          <w:lang w:val="hr-HR"/>
        </w:rPr>
        <w:t xml:space="preserve">ostatak se odnosi na </w:t>
      </w:r>
      <w:r w:rsidRPr="003E2AE9">
        <w:rPr>
          <w:lang w:val="hr-HR"/>
        </w:rPr>
        <w:t>prihod</w:t>
      </w:r>
      <w:r>
        <w:rPr>
          <w:lang w:val="hr-HR"/>
        </w:rPr>
        <w:t>e</w:t>
      </w:r>
      <w:r w:rsidRPr="003E2AE9">
        <w:rPr>
          <w:lang w:val="hr-HR"/>
        </w:rPr>
        <w:t xml:space="preserve"> od prodaje nefinancijske imovine. Ukupni proračunski </w:t>
      </w:r>
      <w:r w:rsidRPr="00E22609">
        <w:rPr>
          <w:lang w:val="hr-HR"/>
        </w:rPr>
        <w:t xml:space="preserve">prihodi </w:t>
      </w:r>
      <w:r w:rsidR="00E22609">
        <w:rPr>
          <w:lang w:val="hr-HR"/>
        </w:rPr>
        <w:t xml:space="preserve">novim planom proračuna </w:t>
      </w:r>
      <w:r w:rsidR="00E22609" w:rsidRPr="00E22609">
        <w:rPr>
          <w:lang w:val="hr-HR"/>
        </w:rPr>
        <w:t>povećavaju</w:t>
      </w:r>
      <w:r w:rsidRPr="00E22609">
        <w:rPr>
          <w:lang w:val="hr-HR"/>
        </w:rPr>
        <w:t xml:space="preserve"> se za </w:t>
      </w:r>
      <w:r w:rsidR="00E22609" w:rsidRPr="00E22609">
        <w:rPr>
          <w:lang w:val="hr-HR"/>
        </w:rPr>
        <w:t>30,3</w:t>
      </w:r>
      <w:r w:rsidRPr="00E22609">
        <w:rPr>
          <w:lang w:val="hr-HR"/>
        </w:rPr>
        <w:t xml:space="preserve"> milijuna</w:t>
      </w:r>
      <w:r>
        <w:rPr>
          <w:lang w:val="hr-HR"/>
        </w:rPr>
        <w:t xml:space="preserve"> eura</w:t>
      </w:r>
      <w:r w:rsidR="00E22609">
        <w:rPr>
          <w:lang w:val="hr-HR"/>
        </w:rPr>
        <w:t>.</w:t>
      </w:r>
    </w:p>
    <w:p w:rsidR="0068374C" w:rsidRPr="003E2AE9" w:rsidRDefault="0068374C" w:rsidP="0068374C">
      <w:pPr>
        <w:jc w:val="both"/>
        <w:rPr>
          <w:b/>
          <w:lang w:val="hr-HR"/>
        </w:rPr>
      </w:pPr>
      <w:r w:rsidRPr="003E2AE9">
        <w:rPr>
          <w:b/>
          <w:lang w:val="hr-HR"/>
        </w:rPr>
        <w:t>Prihodi od poreza</w:t>
      </w:r>
    </w:p>
    <w:p w:rsidR="003F2EF0" w:rsidRPr="003E2AE9" w:rsidRDefault="003F2EF0" w:rsidP="003F2EF0">
      <w:pPr>
        <w:jc w:val="both"/>
        <w:rPr>
          <w:lang w:val="hr-HR"/>
        </w:rPr>
      </w:pPr>
      <w:r w:rsidRPr="003E2AE9">
        <w:rPr>
          <w:lang w:val="hr-HR"/>
        </w:rPr>
        <w:t>Prihodi od poreza su novim planom za 202</w:t>
      </w:r>
      <w:r>
        <w:rPr>
          <w:lang w:val="hr-HR"/>
        </w:rPr>
        <w:t>5</w:t>
      </w:r>
      <w:r w:rsidRPr="003E2AE9">
        <w:rPr>
          <w:lang w:val="hr-HR"/>
        </w:rPr>
        <w:t xml:space="preserve">. godinu planirani u iznosu </w:t>
      </w:r>
      <w:r w:rsidRPr="003E30AC">
        <w:rPr>
          <w:lang w:val="hr-HR"/>
        </w:rPr>
        <w:t>od 18</w:t>
      </w:r>
      <w:r w:rsidR="003E30AC" w:rsidRPr="003E30AC">
        <w:rPr>
          <w:lang w:val="hr-HR"/>
        </w:rPr>
        <w:t>,1</w:t>
      </w:r>
      <w:r w:rsidRPr="003E30AC">
        <w:rPr>
          <w:lang w:val="hr-HR"/>
        </w:rPr>
        <w:t xml:space="preserve"> milijardi</w:t>
      </w:r>
      <w:r>
        <w:rPr>
          <w:lang w:val="hr-HR"/>
        </w:rPr>
        <w:t xml:space="preserve"> eura,</w:t>
      </w:r>
      <w:r w:rsidRPr="00664A81">
        <w:t xml:space="preserve"> </w:t>
      </w:r>
      <w:r w:rsidRPr="00664A81">
        <w:rPr>
          <w:lang w:val="hr-HR"/>
        </w:rPr>
        <w:t xml:space="preserve">što je </w:t>
      </w:r>
      <w:r>
        <w:rPr>
          <w:lang w:val="hr-HR"/>
        </w:rPr>
        <w:t xml:space="preserve">za </w:t>
      </w:r>
      <w:r w:rsidR="003E30AC">
        <w:rPr>
          <w:lang w:val="hr-HR"/>
        </w:rPr>
        <w:t>414,6</w:t>
      </w:r>
      <w:r>
        <w:rPr>
          <w:lang w:val="hr-HR"/>
        </w:rPr>
        <w:t xml:space="preserve"> milijuna eura manje u </w:t>
      </w:r>
      <w:r w:rsidRPr="00664A81">
        <w:rPr>
          <w:lang w:val="hr-HR"/>
        </w:rPr>
        <w:t xml:space="preserve">odnosu na </w:t>
      </w:r>
      <w:r>
        <w:rPr>
          <w:lang w:val="hr-HR"/>
        </w:rPr>
        <w:t xml:space="preserve">prvotni </w:t>
      </w:r>
      <w:r w:rsidRPr="00664A81">
        <w:rPr>
          <w:lang w:val="hr-HR"/>
        </w:rPr>
        <w:t>plan proračuna</w:t>
      </w:r>
      <w:r w:rsidRPr="003E2AE9">
        <w:rPr>
          <w:lang w:val="hr-HR"/>
        </w:rPr>
        <w:t>. Pritom na</w:t>
      </w:r>
      <w:r>
        <w:rPr>
          <w:lang w:val="hr-HR"/>
        </w:rPr>
        <w:t xml:space="preserve">jveće </w:t>
      </w:r>
      <w:r w:rsidR="00136236">
        <w:rPr>
          <w:lang w:val="hr-HR"/>
        </w:rPr>
        <w:t>smanjenje</w:t>
      </w:r>
      <w:r>
        <w:rPr>
          <w:lang w:val="hr-HR"/>
        </w:rPr>
        <w:t xml:space="preserve"> bilježe</w:t>
      </w:r>
      <w:r w:rsidRPr="003E2AE9">
        <w:rPr>
          <w:lang w:val="hr-HR"/>
        </w:rPr>
        <w:t xml:space="preserve"> prihod</w:t>
      </w:r>
      <w:r>
        <w:rPr>
          <w:lang w:val="hr-HR"/>
        </w:rPr>
        <w:t>i</w:t>
      </w:r>
      <w:r w:rsidRPr="003E2AE9">
        <w:rPr>
          <w:lang w:val="hr-HR"/>
        </w:rPr>
        <w:t xml:space="preserve"> od </w:t>
      </w:r>
      <w:r>
        <w:rPr>
          <w:lang w:val="hr-HR"/>
        </w:rPr>
        <w:t>poreza na dobit i prihodi od poreza na dodanu vrijednost</w:t>
      </w:r>
      <w:r w:rsidRPr="003E2AE9">
        <w:rPr>
          <w:lang w:val="hr-HR"/>
        </w:rPr>
        <w:t xml:space="preserve">. </w:t>
      </w:r>
    </w:p>
    <w:p w:rsidR="0068374C" w:rsidRPr="003E2AE9" w:rsidRDefault="0068374C" w:rsidP="0068374C">
      <w:pPr>
        <w:jc w:val="both"/>
        <w:rPr>
          <w:b/>
          <w:i/>
          <w:lang w:val="hr-HR"/>
        </w:rPr>
      </w:pPr>
      <w:r w:rsidRPr="003E2AE9">
        <w:rPr>
          <w:b/>
          <w:i/>
          <w:lang w:val="hr-HR"/>
        </w:rPr>
        <w:t>Porez na dobit</w:t>
      </w:r>
    </w:p>
    <w:p w:rsidR="003F2EF0" w:rsidRDefault="003F2EF0" w:rsidP="003F2EF0">
      <w:pPr>
        <w:jc w:val="both"/>
        <w:rPr>
          <w:lang w:val="hr-HR"/>
        </w:rPr>
      </w:pPr>
      <w:r w:rsidRPr="003E2AE9">
        <w:rPr>
          <w:lang w:val="hr-HR"/>
        </w:rPr>
        <w:t>Prihod od poreza na dobit prema novom planu za 202</w:t>
      </w:r>
      <w:r>
        <w:rPr>
          <w:lang w:val="hr-HR"/>
        </w:rPr>
        <w:t>5</w:t>
      </w:r>
      <w:r w:rsidRPr="003E2AE9">
        <w:rPr>
          <w:lang w:val="hr-HR"/>
        </w:rPr>
        <w:t xml:space="preserve">. godinu </w:t>
      </w:r>
      <w:r w:rsidRPr="000A01E3">
        <w:rPr>
          <w:lang w:val="hr-HR"/>
        </w:rPr>
        <w:t>iznosi 2,6 milijardi</w:t>
      </w:r>
      <w:r>
        <w:rPr>
          <w:lang w:val="hr-HR"/>
        </w:rPr>
        <w:t xml:space="preserve"> eura</w:t>
      </w:r>
      <w:r w:rsidRPr="003E2AE9">
        <w:rPr>
          <w:lang w:val="hr-HR"/>
        </w:rPr>
        <w:t xml:space="preserve"> i </w:t>
      </w:r>
      <w:r>
        <w:rPr>
          <w:lang w:val="hr-HR"/>
        </w:rPr>
        <w:t>manji</w:t>
      </w:r>
      <w:r w:rsidRPr="003E2AE9">
        <w:rPr>
          <w:lang w:val="hr-HR"/>
        </w:rPr>
        <w:t xml:space="preserve"> </w:t>
      </w:r>
      <w:r>
        <w:rPr>
          <w:lang w:val="hr-HR"/>
        </w:rPr>
        <w:t xml:space="preserve">je za </w:t>
      </w:r>
      <w:r w:rsidRPr="000A01E3">
        <w:rPr>
          <w:lang w:val="hr-HR"/>
        </w:rPr>
        <w:t>115,9</w:t>
      </w:r>
      <w:r>
        <w:rPr>
          <w:lang w:val="hr-HR"/>
        </w:rPr>
        <w:t xml:space="preserve"> milijuna eura </w:t>
      </w:r>
      <w:r w:rsidRPr="003E2AE9">
        <w:rPr>
          <w:lang w:val="hr-HR"/>
        </w:rPr>
        <w:t xml:space="preserve">od prvotno planiranog. </w:t>
      </w:r>
      <w:r>
        <w:rPr>
          <w:lang w:val="hr-HR"/>
        </w:rPr>
        <w:t xml:space="preserve">Smanjenje </w:t>
      </w:r>
      <w:r w:rsidRPr="003E2AE9">
        <w:rPr>
          <w:lang w:val="hr-HR"/>
        </w:rPr>
        <w:t xml:space="preserve">ove prihodne kategorije rezultat je poslovanja </w:t>
      </w:r>
      <w:r w:rsidRPr="00792B0D">
        <w:rPr>
          <w:lang w:val="hr-HR"/>
        </w:rPr>
        <w:t xml:space="preserve">poduzeća i banaka u prethodnoj godini </w:t>
      </w:r>
      <w:r>
        <w:rPr>
          <w:lang w:val="hr-HR"/>
        </w:rPr>
        <w:t xml:space="preserve">odnosno uplate poreza na dobit prilikom njihovog završnog obračuna krajem travnja 2025. </w:t>
      </w:r>
      <w:r w:rsidR="00136236">
        <w:rPr>
          <w:lang w:val="hr-HR"/>
        </w:rPr>
        <w:t xml:space="preserve">godine </w:t>
      </w:r>
      <w:r>
        <w:rPr>
          <w:lang w:val="hr-HR"/>
        </w:rPr>
        <w:t xml:space="preserve">koja je bila manja od prvotno očekivane. </w:t>
      </w:r>
    </w:p>
    <w:p w:rsidR="0068374C" w:rsidRPr="003E2AE9" w:rsidRDefault="0068374C" w:rsidP="0068374C">
      <w:pPr>
        <w:jc w:val="both"/>
        <w:rPr>
          <w:b/>
          <w:i/>
          <w:lang w:val="hr-HR"/>
        </w:rPr>
      </w:pPr>
      <w:r w:rsidRPr="003E2AE9">
        <w:rPr>
          <w:b/>
          <w:i/>
          <w:lang w:val="hr-HR"/>
        </w:rPr>
        <w:t>Porez na dodanu vrijednost</w:t>
      </w:r>
    </w:p>
    <w:p w:rsidR="003F2EF0" w:rsidRDefault="003F2EF0" w:rsidP="003F2EF0">
      <w:pPr>
        <w:jc w:val="both"/>
        <w:rPr>
          <w:lang w:val="hr-HR"/>
        </w:rPr>
      </w:pPr>
      <w:r w:rsidRPr="003E2AE9">
        <w:rPr>
          <w:lang w:val="hr-HR"/>
        </w:rPr>
        <w:t xml:space="preserve">Novi plan prihoda od poreza na dodanu vrijednost </w:t>
      </w:r>
      <w:r w:rsidRPr="00B206EF">
        <w:rPr>
          <w:lang w:val="hr-HR"/>
        </w:rPr>
        <w:t>iznosi 12,</w:t>
      </w:r>
      <w:r w:rsidR="00B206EF" w:rsidRPr="00B206EF">
        <w:rPr>
          <w:lang w:val="hr-HR"/>
        </w:rPr>
        <w:t>2</w:t>
      </w:r>
      <w:r w:rsidRPr="00B206EF">
        <w:rPr>
          <w:lang w:val="hr-HR"/>
        </w:rPr>
        <w:t xml:space="preserve"> milijard</w:t>
      </w:r>
      <w:r w:rsidR="00B206EF" w:rsidRPr="00B206EF">
        <w:rPr>
          <w:lang w:val="hr-HR"/>
        </w:rPr>
        <w:t>e</w:t>
      </w:r>
      <w:r>
        <w:rPr>
          <w:lang w:val="hr-HR"/>
        </w:rPr>
        <w:t xml:space="preserve"> eura </w:t>
      </w:r>
      <w:r w:rsidRPr="003E2AE9">
        <w:rPr>
          <w:lang w:val="hr-HR"/>
        </w:rPr>
        <w:t xml:space="preserve">i </w:t>
      </w:r>
      <w:r>
        <w:rPr>
          <w:lang w:val="hr-HR"/>
        </w:rPr>
        <w:t>manji</w:t>
      </w:r>
      <w:r w:rsidRPr="003E2AE9">
        <w:rPr>
          <w:lang w:val="hr-HR"/>
        </w:rPr>
        <w:t xml:space="preserve"> je u odnosu na prvotno planiran</w:t>
      </w:r>
      <w:r>
        <w:rPr>
          <w:lang w:val="hr-HR"/>
        </w:rPr>
        <w:t>i</w:t>
      </w:r>
      <w:r w:rsidRPr="003E2AE9">
        <w:rPr>
          <w:lang w:val="hr-HR"/>
        </w:rPr>
        <w:t xml:space="preserve"> za </w:t>
      </w:r>
      <w:r w:rsidR="00B206EF">
        <w:rPr>
          <w:lang w:val="hr-HR"/>
        </w:rPr>
        <w:t>381,2</w:t>
      </w:r>
      <w:r>
        <w:rPr>
          <w:lang w:val="hr-HR"/>
        </w:rPr>
        <w:t xml:space="preserve"> milijuna eura</w:t>
      </w:r>
      <w:r w:rsidRPr="003E2AE9">
        <w:rPr>
          <w:lang w:val="hr-HR"/>
        </w:rPr>
        <w:t xml:space="preserve">. Projekcija prihoda od PDV-a temelji se na očekivanom kretanju osobne </w:t>
      </w:r>
      <w:r>
        <w:rPr>
          <w:lang w:val="hr-HR"/>
        </w:rPr>
        <w:t xml:space="preserve">i turističke </w:t>
      </w:r>
      <w:r w:rsidRPr="003E2AE9">
        <w:rPr>
          <w:lang w:val="hr-HR"/>
        </w:rPr>
        <w:t xml:space="preserve">potrošnje, </w:t>
      </w:r>
      <w:proofErr w:type="spellStart"/>
      <w:r w:rsidRPr="003E2AE9">
        <w:rPr>
          <w:lang w:val="hr-HR"/>
        </w:rPr>
        <w:t>intermedijarn</w:t>
      </w:r>
      <w:r>
        <w:rPr>
          <w:lang w:val="hr-HR"/>
        </w:rPr>
        <w:t>e</w:t>
      </w:r>
      <w:proofErr w:type="spellEnd"/>
      <w:r w:rsidRPr="003E2AE9">
        <w:rPr>
          <w:lang w:val="hr-HR"/>
        </w:rPr>
        <w:t xml:space="preserve"> potrošnj</w:t>
      </w:r>
      <w:r>
        <w:rPr>
          <w:lang w:val="hr-HR"/>
        </w:rPr>
        <w:t>e</w:t>
      </w:r>
      <w:r w:rsidRPr="003E2AE9">
        <w:rPr>
          <w:lang w:val="hr-HR"/>
        </w:rPr>
        <w:t>, investicij</w:t>
      </w:r>
      <w:r>
        <w:rPr>
          <w:lang w:val="hr-HR"/>
        </w:rPr>
        <w:t>a</w:t>
      </w:r>
      <w:r w:rsidRPr="003E2AE9">
        <w:rPr>
          <w:lang w:val="hr-HR"/>
        </w:rPr>
        <w:t xml:space="preserve"> te socijaln</w:t>
      </w:r>
      <w:r>
        <w:rPr>
          <w:lang w:val="hr-HR"/>
        </w:rPr>
        <w:t>ih</w:t>
      </w:r>
      <w:r w:rsidRPr="003E2AE9">
        <w:rPr>
          <w:lang w:val="hr-HR"/>
        </w:rPr>
        <w:t xml:space="preserve"> transfer</w:t>
      </w:r>
      <w:r>
        <w:rPr>
          <w:lang w:val="hr-HR"/>
        </w:rPr>
        <w:t>a</w:t>
      </w:r>
      <w:r w:rsidRPr="003E2AE9">
        <w:rPr>
          <w:lang w:val="hr-HR"/>
        </w:rPr>
        <w:t xml:space="preserve"> u naravi.</w:t>
      </w:r>
    </w:p>
    <w:p w:rsidR="0068374C" w:rsidRPr="007F14D5" w:rsidRDefault="0068374C" w:rsidP="0068374C">
      <w:pPr>
        <w:jc w:val="both"/>
        <w:rPr>
          <w:lang w:val="hr-HR"/>
        </w:rPr>
      </w:pPr>
      <w:r w:rsidRPr="003E2AE9">
        <w:rPr>
          <w:b/>
          <w:i/>
          <w:lang w:val="hr-HR"/>
        </w:rPr>
        <w:t>Posebni porezi i trošarine</w:t>
      </w:r>
    </w:p>
    <w:p w:rsidR="003F2EF0" w:rsidRPr="003E2AE9" w:rsidRDefault="003F2EF0" w:rsidP="003F2EF0">
      <w:pPr>
        <w:jc w:val="both"/>
        <w:rPr>
          <w:lang w:val="hr-HR"/>
        </w:rPr>
      </w:pPr>
      <w:r w:rsidRPr="00A53EF7">
        <w:rPr>
          <w:lang w:val="hr-HR"/>
        </w:rPr>
        <w:t>Prihodi od posebnih poreza i trošarina prema ovim Izmjenama i dopunama Državnog proračuna Republike Hrvatske za 202</w:t>
      </w:r>
      <w:r>
        <w:rPr>
          <w:lang w:val="hr-HR"/>
        </w:rPr>
        <w:t>5</w:t>
      </w:r>
      <w:r w:rsidRPr="00A53EF7">
        <w:rPr>
          <w:lang w:val="hr-HR"/>
        </w:rPr>
        <w:t xml:space="preserve">. godinu bilježe </w:t>
      </w:r>
      <w:r w:rsidRPr="00772838">
        <w:rPr>
          <w:lang w:val="hr-HR"/>
        </w:rPr>
        <w:t>povećanje od 92,</w:t>
      </w:r>
      <w:r w:rsidR="00772838" w:rsidRPr="00772838">
        <w:rPr>
          <w:lang w:val="hr-HR"/>
        </w:rPr>
        <w:t>4</w:t>
      </w:r>
      <w:r w:rsidRPr="00772838">
        <w:rPr>
          <w:lang w:val="hr-HR"/>
        </w:rPr>
        <w:t xml:space="preserve"> milijuna</w:t>
      </w:r>
      <w:r w:rsidRPr="00A53EF7">
        <w:rPr>
          <w:lang w:val="hr-HR"/>
        </w:rPr>
        <w:t xml:space="preserve"> eura u odnosu na prvotni plan </w:t>
      </w:r>
      <w:r w:rsidRPr="00772838">
        <w:rPr>
          <w:lang w:val="hr-HR"/>
        </w:rPr>
        <w:t>te iznose 3 milijarde</w:t>
      </w:r>
      <w:r w:rsidRPr="00A53EF7">
        <w:rPr>
          <w:lang w:val="hr-HR"/>
        </w:rPr>
        <w:t xml:space="preserve"> eura. Izmjena originalne projekcije ovih prihoda rezultat je očekivanog kretanja </w:t>
      </w:r>
      <w:r w:rsidRPr="00A53EF7">
        <w:rPr>
          <w:lang w:val="hr-HR"/>
        </w:rPr>
        <w:lastRenderedPageBreak/>
        <w:t xml:space="preserve">potrošnje pojedinih trošarinskih proizvoda, uzimajući u obzir i očekivane učinke izmjena propisa u trošarinskom sustavu, odnosno u oporezivanju </w:t>
      </w:r>
      <w:r>
        <w:rPr>
          <w:lang w:val="hr-HR"/>
        </w:rPr>
        <w:t>duhanskih proizvoda</w:t>
      </w:r>
      <w:r w:rsidRPr="00A53EF7">
        <w:rPr>
          <w:lang w:val="hr-HR"/>
        </w:rPr>
        <w:t>.</w:t>
      </w:r>
      <w:r w:rsidRPr="003E2AE9">
        <w:rPr>
          <w:lang w:val="hr-HR"/>
        </w:rPr>
        <w:t xml:space="preserve"> </w:t>
      </w:r>
    </w:p>
    <w:p w:rsidR="0068374C" w:rsidRPr="003E2AE9" w:rsidRDefault="0068374C" w:rsidP="0068374C">
      <w:pPr>
        <w:jc w:val="both"/>
        <w:rPr>
          <w:b/>
          <w:i/>
          <w:lang w:val="hr-HR"/>
        </w:rPr>
      </w:pPr>
      <w:r w:rsidRPr="003E2AE9">
        <w:rPr>
          <w:b/>
          <w:i/>
          <w:lang w:val="hr-HR"/>
        </w:rPr>
        <w:t>Ostali porezi na robu i usluge</w:t>
      </w:r>
    </w:p>
    <w:p w:rsidR="003F2EF0" w:rsidRPr="003E2AE9" w:rsidRDefault="003F2EF0" w:rsidP="003F2EF0">
      <w:pPr>
        <w:jc w:val="both"/>
        <w:rPr>
          <w:lang w:val="hr-HR"/>
        </w:rPr>
      </w:pPr>
      <w:r w:rsidRPr="003E2AE9">
        <w:rPr>
          <w:lang w:val="hr-HR"/>
        </w:rPr>
        <w:t>Ova kategorija poreznih prihoda</w:t>
      </w:r>
      <w:r>
        <w:rPr>
          <w:lang w:val="hr-HR"/>
        </w:rPr>
        <w:t xml:space="preserve">, planirana u </w:t>
      </w:r>
      <w:r w:rsidRPr="00EF641C">
        <w:rPr>
          <w:lang w:val="hr-HR"/>
        </w:rPr>
        <w:t>iznosu od 106,6 milijuna</w:t>
      </w:r>
      <w:r>
        <w:rPr>
          <w:lang w:val="hr-HR"/>
        </w:rPr>
        <w:t xml:space="preserve"> eura,</w:t>
      </w:r>
      <w:r w:rsidRPr="003E2AE9">
        <w:rPr>
          <w:lang w:val="hr-HR"/>
        </w:rPr>
        <w:t xml:space="preserve"> uključuje prihode od poreza na osiguranj</w:t>
      </w:r>
      <w:r>
        <w:rPr>
          <w:lang w:val="hr-HR"/>
        </w:rPr>
        <w:t>e</w:t>
      </w:r>
      <w:r w:rsidRPr="003E2AE9">
        <w:rPr>
          <w:lang w:val="hr-HR"/>
        </w:rPr>
        <w:t xml:space="preserve"> od automobilske odgovornosti i </w:t>
      </w:r>
      <w:proofErr w:type="spellStart"/>
      <w:r w:rsidRPr="003E2AE9">
        <w:rPr>
          <w:lang w:val="hr-HR"/>
        </w:rPr>
        <w:t>kasko</w:t>
      </w:r>
      <w:proofErr w:type="spellEnd"/>
      <w:r w:rsidRPr="003E2AE9">
        <w:rPr>
          <w:lang w:val="hr-HR"/>
        </w:rPr>
        <w:t xml:space="preserve"> </w:t>
      </w:r>
      <w:r w:rsidRPr="00931DCB">
        <w:rPr>
          <w:lang w:val="hr-HR"/>
        </w:rPr>
        <w:t xml:space="preserve">osiguranja i </w:t>
      </w:r>
      <w:r w:rsidRPr="00EF641C">
        <w:rPr>
          <w:lang w:val="hr-HR"/>
        </w:rPr>
        <w:t>veća je za 3,</w:t>
      </w:r>
      <w:r w:rsidR="00720D47">
        <w:rPr>
          <w:lang w:val="hr-HR"/>
        </w:rPr>
        <w:t>4</w:t>
      </w:r>
      <w:r w:rsidRPr="00EF641C">
        <w:rPr>
          <w:lang w:val="hr-HR"/>
        </w:rPr>
        <w:t xml:space="preserve"> milijuna</w:t>
      </w:r>
      <w:r w:rsidRPr="00931DCB">
        <w:rPr>
          <w:lang w:val="hr-HR"/>
        </w:rPr>
        <w:t xml:space="preserve"> eura u odnosu na prvotni plan.</w:t>
      </w:r>
      <w:r w:rsidRPr="003E2AE9">
        <w:rPr>
          <w:lang w:val="hr-HR"/>
        </w:rPr>
        <w:t xml:space="preserve"> </w:t>
      </w:r>
    </w:p>
    <w:p w:rsidR="0068374C" w:rsidRPr="003E2AE9" w:rsidRDefault="0068374C" w:rsidP="0068374C">
      <w:pPr>
        <w:jc w:val="both"/>
        <w:rPr>
          <w:b/>
          <w:i/>
          <w:lang w:val="hr-HR"/>
        </w:rPr>
      </w:pPr>
      <w:r w:rsidRPr="003E2AE9">
        <w:rPr>
          <w:b/>
          <w:i/>
          <w:lang w:val="hr-HR"/>
        </w:rPr>
        <w:t>Porez na dobitke od igara na sreću i ostali porezi od igara na sreću</w:t>
      </w:r>
    </w:p>
    <w:p w:rsidR="003F2EF0" w:rsidRPr="003E2AE9" w:rsidRDefault="003F2EF0" w:rsidP="003F2EF0">
      <w:pPr>
        <w:jc w:val="both"/>
        <w:rPr>
          <w:lang w:val="hr-HR"/>
        </w:rPr>
      </w:pPr>
      <w:r w:rsidRPr="0014754F">
        <w:rPr>
          <w:lang w:val="hr-HR"/>
        </w:rPr>
        <w:t xml:space="preserve">Planirani prihod po osnovi poreza na dobitke od igara na sreću i ostalih poreza od igara na sreću </w:t>
      </w:r>
      <w:r>
        <w:rPr>
          <w:lang w:val="hr-HR"/>
        </w:rPr>
        <w:t>novim planom proračuna</w:t>
      </w:r>
      <w:r w:rsidRPr="0014754F">
        <w:rPr>
          <w:lang w:val="hr-HR"/>
        </w:rPr>
        <w:t xml:space="preserve"> za 202</w:t>
      </w:r>
      <w:r>
        <w:rPr>
          <w:lang w:val="hr-HR"/>
        </w:rPr>
        <w:t>5</w:t>
      </w:r>
      <w:r w:rsidRPr="0014754F">
        <w:rPr>
          <w:lang w:val="hr-HR"/>
        </w:rPr>
        <w:t xml:space="preserve">. godinu iznosi </w:t>
      </w:r>
      <w:r w:rsidR="00316FA1">
        <w:rPr>
          <w:lang w:val="hr-HR"/>
        </w:rPr>
        <w:t>76,1</w:t>
      </w:r>
      <w:r w:rsidR="00D01BD1">
        <w:rPr>
          <w:lang w:val="hr-HR"/>
        </w:rPr>
        <w:t xml:space="preserve"> </w:t>
      </w:r>
      <w:r w:rsidRPr="0014754F">
        <w:rPr>
          <w:lang w:val="hr-HR"/>
        </w:rPr>
        <w:t>milijun</w:t>
      </w:r>
      <w:r w:rsidR="00D01BD1">
        <w:rPr>
          <w:lang w:val="hr-HR"/>
        </w:rPr>
        <w:t>a</w:t>
      </w:r>
      <w:r w:rsidRPr="0014754F">
        <w:rPr>
          <w:lang w:val="hr-HR"/>
        </w:rPr>
        <w:t xml:space="preserve"> eura i </w:t>
      </w:r>
      <w:r w:rsidR="00316FA1">
        <w:rPr>
          <w:lang w:val="hr-HR"/>
        </w:rPr>
        <w:t>smanjuju</w:t>
      </w:r>
      <w:r>
        <w:rPr>
          <w:lang w:val="hr-HR"/>
        </w:rPr>
        <w:t xml:space="preserve"> se</w:t>
      </w:r>
      <w:r w:rsidRPr="0014754F">
        <w:rPr>
          <w:lang w:val="hr-HR"/>
        </w:rPr>
        <w:t xml:space="preserve"> za </w:t>
      </w:r>
      <w:r w:rsidR="00316FA1">
        <w:rPr>
          <w:lang w:val="hr-HR"/>
        </w:rPr>
        <w:t>9,7</w:t>
      </w:r>
      <w:r>
        <w:rPr>
          <w:lang w:val="hr-HR"/>
        </w:rPr>
        <w:t xml:space="preserve"> </w:t>
      </w:r>
      <w:r w:rsidRPr="0014754F">
        <w:rPr>
          <w:lang w:val="hr-HR"/>
        </w:rPr>
        <w:t>milijun</w:t>
      </w:r>
      <w:r>
        <w:rPr>
          <w:lang w:val="hr-HR"/>
        </w:rPr>
        <w:t>a</w:t>
      </w:r>
      <w:r w:rsidRPr="0014754F">
        <w:rPr>
          <w:lang w:val="hr-HR"/>
        </w:rPr>
        <w:t xml:space="preserve"> eura u odnosu na prvotni plan. </w:t>
      </w:r>
    </w:p>
    <w:p w:rsidR="0068374C" w:rsidRPr="003E2AE9" w:rsidRDefault="0068374C" w:rsidP="0068374C">
      <w:pPr>
        <w:jc w:val="both"/>
        <w:rPr>
          <w:b/>
          <w:i/>
          <w:lang w:val="hr-HR"/>
        </w:rPr>
      </w:pPr>
      <w:r w:rsidRPr="003E2AE9">
        <w:rPr>
          <w:b/>
          <w:i/>
          <w:lang w:val="hr-HR"/>
        </w:rPr>
        <w:t>Porezi na međunarodnu trgovinu i transakcije</w:t>
      </w:r>
    </w:p>
    <w:p w:rsidR="003F2EF0" w:rsidRPr="0054100C" w:rsidRDefault="003F2EF0" w:rsidP="003F2EF0">
      <w:pPr>
        <w:jc w:val="both"/>
        <w:rPr>
          <w:lang w:val="hr-HR"/>
        </w:rPr>
      </w:pPr>
      <w:r w:rsidRPr="00316FA1">
        <w:rPr>
          <w:lang w:val="hr-HR"/>
        </w:rPr>
        <w:t>Prihod od poreza na međunarodnu trgovinu i transakcije planiran je u 2025. godini u iznosu od 94,7 milijuna eura, čime se povećava za 11,3 milijuna eura u odnosu na prethodni plan.</w:t>
      </w:r>
      <w:r w:rsidRPr="003E2AE9">
        <w:rPr>
          <w:lang w:val="hr-HR"/>
        </w:rPr>
        <w:t xml:space="preserve"> </w:t>
      </w:r>
    </w:p>
    <w:p w:rsidR="0068374C" w:rsidRPr="003E2AE9" w:rsidRDefault="0068374C" w:rsidP="0068374C">
      <w:pPr>
        <w:jc w:val="both"/>
        <w:rPr>
          <w:b/>
          <w:i/>
          <w:lang w:val="hr-HR"/>
        </w:rPr>
      </w:pPr>
      <w:r w:rsidRPr="003E2AE9">
        <w:rPr>
          <w:b/>
          <w:i/>
          <w:lang w:val="hr-HR"/>
        </w:rPr>
        <w:t>Doprinosi</w:t>
      </w:r>
    </w:p>
    <w:p w:rsidR="003F2EF0" w:rsidRPr="003E2AE9" w:rsidRDefault="003F2EF0" w:rsidP="003F2EF0">
      <w:pPr>
        <w:jc w:val="both"/>
        <w:rPr>
          <w:lang w:val="hr-HR"/>
        </w:rPr>
      </w:pPr>
      <w:r w:rsidRPr="003A4027">
        <w:rPr>
          <w:lang w:val="hr-HR"/>
        </w:rPr>
        <w:t>Izmjenama i dopunama Državnog proračuna Republike Hrvatske za 2025. godinu prihodi od doprinosa povećavaju se za 255 milijuna eura i iznose 5,8 milijardi eura.</w:t>
      </w:r>
      <w:r w:rsidRPr="00427D4C">
        <w:rPr>
          <w:lang w:val="hr-HR"/>
        </w:rPr>
        <w:t xml:space="preserve"> Ovo povećanje rezultat je</w:t>
      </w:r>
      <w:r>
        <w:rPr>
          <w:lang w:val="hr-HR"/>
        </w:rPr>
        <w:t xml:space="preserve"> dosadašnjih ostvarenja prihoda po ovoj osnovi kao i</w:t>
      </w:r>
      <w:r w:rsidRPr="00427D4C">
        <w:rPr>
          <w:lang w:val="hr-HR"/>
        </w:rPr>
        <w:t xml:space="preserve"> kretanja na tržištu rada, odnosno očekivanog rasta plaća i zaposlenosti.</w:t>
      </w:r>
      <w:r w:rsidRPr="003E2AE9">
        <w:rPr>
          <w:lang w:val="hr-HR"/>
        </w:rPr>
        <w:t xml:space="preserve"> </w:t>
      </w:r>
    </w:p>
    <w:p w:rsidR="0068374C" w:rsidRPr="003E2AE9" w:rsidRDefault="0068374C" w:rsidP="0068374C">
      <w:pPr>
        <w:jc w:val="both"/>
        <w:rPr>
          <w:b/>
          <w:i/>
          <w:lang w:val="hr-HR"/>
        </w:rPr>
      </w:pPr>
      <w:r w:rsidRPr="003E2AE9">
        <w:rPr>
          <w:b/>
          <w:i/>
          <w:lang w:val="hr-HR"/>
        </w:rPr>
        <w:t>Pomoći</w:t>
      </w:r>
    </w:p>
    <w:p w:rsidR="003F2EF0" w:rsidRPr="003E2AE9" w:rsidRDefault="003F2EF0" w:rsidP="003F2EF0">
      <w:pPr>
        <w:jc w:val="both"/>
        <w:rPr>
          <w:lang w:val="hr-HR"/>
        </w:rPr>
      </w:pPr>
      <w:r w:rsidRPr="00216657">
        <w:rPr>
          <w:lang w:val="hr-HR"/>
        </w:rPr>
        <w:t>Prihodi od pomoći prema novom planu za 202</w:t>
      </w:r>
      <w:r>
        <w:rPr>
          <w:lang w:val="hr-HR"/>
        </w:rPr>
        <w:t>5</w:t>
      </w:r>
      <w:r w:rsidRPr="00216657">
        <w:rPr>
          <w:lang w:val="hr-HR"/>
        </w:rPr>
        <w:t>. planirani su u iznosu od</w:t>
      </w:r>
      <w:r w:rsidR="00871376">
        <w:rPr>
          <w:lang w:val="hr-HR"/>
        </w:rPr>
        <w:t xml:space="preserve"> 3,7</w:t>
      </w:r>
      <w:r>
        <w:rPr>
          <w:lang w:val="hr-HR"/>
        </w:rPr>
        <w:t xml:space="preserve"> milijarde</w:t>
      </w:r>
      <w:r w:rsidRPr="00216657">
        <w:rPr>
          <w:lang w:val="hr-HR"/>
        </w:rPr>
        <w:t xml:space="preserve"> eura i u odnosu na </w:t>
      </w:r>
      <w:r w:rsidRPr="00871376">
        <w:rPr>
          <w:lang w:val="hr-HR"/>
        </w:rPr>
        <w:t xml:space="preserve">prvotni plan </w:t>
      </w:r>
      <w:r w:rsidR="00871376" w:rsidRPr="00871376">
        <w:rPr>
          <w:lang w:val="hr-HR"/>
        </w:rPr>
        <w:t xml:space="preserve">povećavaju </w:t>
      </w:r>
      <w:r w:rsidRPr="00871376">
        <w:rPr>
          <w:lang w:val="hr-HR"/>
        </w:rPr>
        <w:t xml:space="preserve">se za </w:t>
      </w:r>
      <w:r w:rsidR="00871376" w:rsidRPr="00871376">
        <w:rPr>
          <w:lang w:val="hr-HR"/>
        </w:rPr>
        <w:t>55,9</w:t>
      </w:r>
      <w:r w:rsidRPr="00871376">
        <w:rPr>
          <w:lang w:val="hr-HR"/>
        </w:rPr>
        <w:t xml:space="preserve"> milijuna</w:t>
      </w:r>
      <w:r w:rsidRPr="00216657">
        <w:rPr>
          <w:lang w:val="hr-HR"/>
        </w:rPr>
        <w:t xml:space="preserve"> eura. </w:t>
      </w:r>
      <w:r w:rsidR="00557F2C">
        <w:rPr>
          <w:lang w:val="hr-HR"/>
        </w:rPr>
        <w:t xml:space="preserve">Od 1. siječnja 2025. promijenjena je metodologija </w:t>
      </w:r>
      <w:r w:rsidR="00557F2C" w:rsidRPr="00557F2C">
        <w:rPr>
          <w:lang w:val="hr-HR"/>
        </w:rPr>
        <w:t>priznavanja prihoda od EU pomoći</w:t>
      </w:r>
      <w:r w:rsidR="00557F2C">
        <w:rPr>
          <w:lang w:val="hr-HR"/>
        </w:rPr>
        <w:t xml:space="preserve"> na način da ih se u državnom proračunu prati</w:t>
      </w:r>
      <w:r w:rsidR="00557F2C" w:rsidRPr="00557F2C">
        <w:rPr>
          <w:lang w:val="hr-HR"/>
        </w:rPr>
        <w:t xml:space="preserve"> </w:t>
      </w:r>
      <w:r w:rsidR="00557F2C">
        <w:rPr>
          <w:lang w:val="hr-HR"/>
        </w:rPr>
        <w:t xml:space="preserve">na novčanoj osnovi. To znači </w:t>
      </w:r>
      <w:r w:rsidR="00557F2C" w:rsidRPr="00557F2C">
        <w:rPr>
          <w:lang w:val="hr-HR"/>
        </w:rPr>
        <w:t xml:space="preserve">da se isti evidentiraju </w:t>
      </w:r>
      <w:r w:rsidR="00557F2C">
        <w:rPr>
          <w:lang w:val="hr-HR"/>
        </w:rPr>
        <w:t xml:space="preserve">i planiraju </w:t>
      </w:r>
      <w:r w:rsidR="00557F2C" w:rsidRPr="00557F2C">
        <w:rPr>
          <w:lang w:val="hr-HR"/>
        </w:rPr>
        <w:t>u razdoblju kada su refundirani iz proračuna EU ili kada se može napraviti prijeboj potraživanja za EU pomoći sa sredstvima unaprijed naplaćenog EU predujma. Osim toga, kategorija prihoda od pomoći uključuje i manji dio prihoda od pomoći od inozemnih vlada, pomoći iz drugih proračuna, pomoći od ostalih subjekata unutar općeg proračuna, pomoći proračunskim korisnicima iz proračuna koji im nije nadležan, pomoći iz državnog proračuna temeljem prijenosa EU sredstava te prijenosa između proračunskih korisnika istog proračuna.</w:t>
      </w:r>
    </w:p>
    <w:p w:rsidR="0068374C" w:rsidRPr="003E2AE9" w:rsidRDefault="0068374C" w:rsidP="0068374C">
      <w:pPr>
        <w:jc w:val="both"/>
        <w:rPr>
          <w:b/>
          <w:i/>
          <w:lang w:val="hr-HR"/>
        </w:rPr>
      </w:pPr>
      <w:r w:rsidRPr="003E2AE9">
        <w:rPr>
          <w:b/>
          <w:i/>
          <w:lang w:val="hr-HR"/>
        </w:rPr>
        <w:t>Prihodi od imovine</w:t>
      </w:r>
    </w:p>
    <w:p w:rsidR="003F2EF0" w:rsidRPr="003E2AE9" w:rsidRDefault="003F2EF0" w:rsidP="003F2EF0">
      <w:pPr>
        <w:jc w:val="both"/>
        <w:rPr>
          <w:lang w:val="hr-HR"/>
        </w:rPr>
      </w:pPr>
      <w:r w:rsidRPr="003E2AE9">
        <w:rPr>
          <w:lang w:val="hr-HR"/>
        </w:rPr>
        <w:t>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Prihodi od imovin</w:t>
      </w:r>
      <w:r w:rsidRPr="003F7058">
        <w:rPr>
          <w:lang w:val="hr-HR"/>
        </w:rPr>
        <w:t>e novim planom proračuna za 202</w:t>
      </w:r>
      <w:r>
        <w:rPr>
          <w:lang w:val="hr-HR"/>
        </w:rPr>
        <w:t>5</w:t>
      </w:r>
      <w:r w:rsidRPr="003F7058">
        <w:rPr>
          <w:lang w:val="hr-HR"/>
        </w:rPr>
        <w:t xml:space="preserve">. godinu iznose </w:t>
      </w:r>
      <w:r w:rsidR="008F4F0C">
        <w:rPr>
          <w:lang w:val="hr-HR"/>
        </w:rPr>
        <w:t>467,4</w:t>
      </w:r>
      <w:r w:rsidRPr="003F7058">
        <w:rPr>
          <w:lang w:val="hr-HR"/>
        </w:rPr>
        <w:t xml:space="preserve"> milijuna eura, što je </w:t>
      </w:r>
      <w:r>
        <w:rPr>
          <w:lang w:val="hr-HR"/>
        </w:rPr>
        <w:t>smanjenje</w:t>
      </w:r>
      <w:r w:rsidRPr="003F7058">
        <w:rPr>
          <w:lang w:val="hr-HR"/>
        </w:rPr>
        <w:t xml:space="preserve"> </w:t>
      </w:r>
      <w:r>
        <w:rPr>
          <w:lang w:val="hr-HR"/>
        </w:rPr>
        <w:t>od</w:t>
      </w:r>
      <w:r w:rsidRPr="003F7058">
        <w:rPr>
          <w:lang w:val="hr-HR"/>
        </w:rPr>
        <w:t xml:space="preserve"> </w:t>
      </w:r>
      <w:r w:rsidR="008F4F0C">
        <w:rPr>
          <w:lang w:val="hr-HR"/>
        </w:rPr>
        <w:t>103,5</w:t>
      </w:r>
      <w:r w:rsidRPr="003F7058">
        <w:rPr>
          <w:lang w:val="hr-HR"/>
        </w:rPr>
        <w:t xml:space="preserve"> milijuna eura u odnosu na prvotni plan. Ovi prihodi </w:t>
      </w:r>
      <w:r>
        <w:rPr>
          <w:lang w:val="hr-HR"/>
        </w:rPr>
        <w:t>smanjuju se</w:t>
      </w:r>
      <w:r w:rsidRPr="003F7058">
        <w:rPr>
          <w:lang w:val="hr-HR"/>
        </w:rPr>
        <w:t xml:space="preserve"> zbog </w:t>
      </w:r>
      <w:r>
        <w:rPr>
          <w:lang w:val="hr-HR"/>
        </w:rPr>
        <w:t xml:space="preserve">prvotno </w:t>
      </w:r>
      <w:r w:rsidRPr="003F7058">
        <w:rPr>
          <w:lang w:val="hr-HR"/>
        </w:rPr>
        <w:t xml:space="preserve">više očekivanih prihoda od uplate dobiti poduzeća u državnom vlasništvu, </w:t>
      </w:r>
      <w:r>
        <w:rPr>
          <w:lang w:val="hr-HR"/>
        </w:rPr>
        <w:t>kao i zbog smanjenja prihoda od kamata</w:t>
      </w:r>
      <w:r w:rsidR="000722E3">
        <w:rPr>
          <w:lang w:val="hr-HR"/>
        </w:rPr>
        <w:t xml:space="preserve"> na oročena sredstva i depozite po viđenju</w:t>
      </w:r>
      <w:r w:rsidRPr="003F7058">
        <w:rPr>
          <w:lang w:val="hr-HR"/>
        </w:rPr>
        <w:t>.</w:t>
      </w:r>
      <w:r>
        <w:rPr>
          <w:lang w:val="hr-HR"/>
        </w:rPr>
        <w:t xml:space="preserve"> </w:t>
      </w:r>
    </w:p>
    <w:p w:rsidR="0068374C" w:rsidRPr="00EB1AD0" w:rsidRDefault="0068374C" w:rsidP="0068374C">
      <w:pPr>
        <w:jc w:val="both"/>
        <w:rPr>
          <w:lang w:val="hr-HR"/>
        </w:rPr>
      </w:pPr>
      <w:r w:rsidRPr="003E2AE9">
        <w:rPr>
          <w:b/>
          <w:i/>
          <w:lang w:val="hr-HR"/>
        </w:rPr>
        <w:lastRenderedPageBreak/>
        <w:t xml:space="preserve">Prihodi od upravnih i administrativnih pristojbi, </w:t>
      </w:r>
      <w:r>
        <w:rPr>
          <w:b/>
          <w:i/>
          <w:lang w:val="hr-HR"/>
        </w:rPr>
        <w:t>prihodi</w:t>
      </w:r>
      <w:r w:rsidRPr="003E2AE9">
        <w:rPr>
          <w:b/>
          <w:i/>
          <w:lang w:val="hr-HR"/>
        </w:rPr>
        <w:t xml:space="preserve"> po posebnim propisima i naknada</w:t>
      </w:r>
    </w:p>
    <w:p w:rsidR="003F2EF0" w:rsidRDefault="003F2EF0" w:rsidP="003F2EF0">
      <w:pPr>
        <w:jc w:val="both"/>
        <w:rPr>
          <w:lang w:val="hr-HR"/>
        </w:rPr>
      </w:pPr>
      <w:r w:rsidRPr="003E2AE9">
        <w:rPr>
          <w:lang w:val="hr-HR"/>
        </w:rPr>
        <w:t xml:space="preserve">Prihodi od upravnih i administrativnih pristojbi, </w:t>
      </w:r>
      <w:r>
        <w:rPr>
          <w:lang w:val="hr-HR"/>
        </w:rPr>
        <w:t>prihodi</w:t>
      </w:r>
      <w:r w:rsidRPr="003E2AE9">
        <w:rPr>
          <w:lang w:val="hr-HR"/>
        </w:rPr>
        <w:t xml:space="preserve"> po posebnim propisim</w:t>
      </w:r>
      <w:r>
        <w:rPr>
          <w:lang w:val="hr-HR"/>
        </w:rPr>
        <w:t>a i naknada novim planom za 2025</w:t>
      </w:r>
      <w:r w:rsidRPr="003E2AE9">
        <w:rPr>
          <w:lang w:val="hr-HR"/>
        </w:rPr>
        <w:t xml:space="preserve">. godinu planirani su </w:t>
      </w:r>
      <w:r>
        <w:rPr>
          <w:lang w:val="hr-HR"/>
        </w:rPr>
        <w:t xml:space="preserve">u </w:t>
      </w:r>
      <w:r w:rsidRPr="00A50326">
        <w:rPr>
          <w:lang w:val="hr-HR"/>
        </w:rPr>
        <w:t>iznosu od 1,</w:t>
      </w:r>
      <w:r w:rsidR="00A50326" w:rsidRPr="00A50326">
        <w:rPr>
          <w:lang w:val="hr-HR"/>
        </w:rPr>
        <w:t>3</w:t>
      </w:r>
      <w:r w:rsidRPr="00A50326">
        <w:rPr>
          <w:lang w:val="hr-HR"/>
        </w:rPr>
        <w:t xml:space="preserve"> milijarde</w:t>
      </w:r>
      <w:r>
        <w:rPr>
          <w:lang w:val="hr-HR"/>
        </w:rPr>
        <w:t xml:space="preserve"> eura</w:t>
      </w:r>
      <w:r w:rsidRPr="003E2AE9">
        <w:rPr>
          <w:lang w:val="hr-HR"/>
        </w:rPr>
        <w:t xml:space="preserve">, a u odnosu na prvotno planirane prihode </w:t>
      </w:r>
      <w:r w:rsidRPr="003F7058">
        <w:rPr>
          <w:lang w:val="hr-HR"/>
        </w:rPr>
        <w:t xml:space="preserve">povećavaju se za </w:t>
      </w:r>
      <w:r w:rsidR="00A50326">
        <w:rPr>
          <w:lang w:val="hr-HR"/>
        </w:rPr>
        <w:t>111,8</w:t>
      </w:r>
      <w:r w:rsidRPr="003F7058">
        <w:rPr>
          <w:lang w:val="hr-HR"/>
        </w:rPr>
        <w:t xml:space="preserve"> milijun</w:t>
      </w:r>
      <w:r>
        <w:rPr>
          <w:lang w:val="hr-HR"/>
        </w:rPr>
        <w:t>a</w:t>
      </w:r>
      <w:r w:rsidRPr="003F7058">
        <w:rPr>
          <w:lang w:val="hr-HR"/>
        </w:rPr>
        <w:t xml:space="preserve"> eura.</w:t>
      </w:r>
      <w:r>
        <w:rPr>
          <w:lang w:val="hr-HR"/>
        </w:rPr>
        <w:t xml:space="preserve"> Pritom prihodi</w:t>
      </w:r>
      <w:r w:rsidRPr="003E2AE9">
        <w:rPr>
          <w:lang w:val="hr-HR"/>
        </w:rPr>
        <w:t xml:space="preserve"> od upravnih i administrativnih pristojbi </w:t>
      </w:r>
      <w:r w:rsidRPr="00A50326">
        <w:rPr>
          <w:lang w:val="hr-HR"/>
        </w:rPr>
        <w:t xml:space="preserve">iznose </w:t>
      </w:r>
      <w:r w:rsidR="00A50326" w:rsidRPr="00A50326">
        <w:rPr>
          <w:lang w:val="hr-HR"/>
        </w:rPr>
        <w:t>172,1</w:t>
      </w:r>
      <w:r w:rsidRPr="00A50326">
        <w:rPr>
          <w:lang w:val="hr-HR"/>
        </w:rPr>
        <w:t xml:space="preserve"> milijuna</w:t>
      </w:r>
      <w:r>
        <w:rPr>
          <w:lang w:val="hr-HR"/>
        </w:rPr>
        <w:t xml:space="preserve"> eura, prihodi </w:t>
      </w:r>
      <w:r w:rsidRPr="004B048B">
        <w:rPr>
          <w:lang w:val="hr-HR"/>
        </w:rPr>
        <w:t xml:space="preserve">po posebnim propisima </w:t>
      </w:r>
      <w:r w:rsidR="00A50326">
        <w:rPr>
          <w:lang w:val="hr-HR"/>
        </w:rPr>
        <w:t xml:space="preserve">844,4 </w:t>
      </w:r>
      <w:r w:rsidRPr="004B048B">
        <w:rPr>
          <w:lang w:val="hr-HR"/>
        </w:rPr>
        <w:t>milijuna eura</w:t>
      </w:r>
      <w:r>
        <w:rPr>
          <w:lang w:val="hr-HR"/>
        </w:rPr>
        <w:t xml:space="preserve">, a prihodi od naknada za priređivanje igara </w:t>
      </w:r>
      <w:r w:rsidRPr="00A50326">
        <w:rPr>
          <w:lang w:val="hr-HR"/>
        </w:rPr>
        <w:t xml:space="preserve">na sreću </w:t>
      </w:r>
      <w:r w:rsidR="00A50326" w:rsidRPr="00A50326">
        <w:rPr>
          <w:lang w:val="hr-HR"/>
        </w:rPr>
        <w:t>280</w:t>
      </w:r>
      <w:r w:rsidRPr="00A50326">
        <w:rPr>
          <w:lang w:val="hr-HR"/>
        </w:rPr>
        <w:t xml:space="preserve"> milijuna eura.</w:t>
      </w:r>
      <w:r w:rsidRPr="003E2AE9">
        <w:rPr>
          <w:lang w:val="hr-HR"/>
        </w:rPr>
        <w:t xml:space="preserve"> </w:t>
      </w:r>
    </w:p>
    <w:p w:rsidR="0068374C" w:rsidRPr="003E2AE9" w:rsidRDefault="0068374C" w:rsidP="0068374C">
      <w:pPr>
        <w:jc w:val="both"/>
        <w:rPr>
          <w:b/>
          <w:i/>
          <w:lang w:val="hr-HR"/>
        </w:rPr>
      </w:pPr>
      <w:r w:rsidRPr="003E2AE9">
        <w:rPr>
          <w:b/>
          <w:i/>
          <w:lang w:val="hr-HR"/>
        </w:rPr>
        <w:t>Prihodi od prodaje proizvoda i roba te pruženih usluga i prihodi od donacija</w:t>
      </w:r>
    </w:p>
    <w:p w:rsidR="003F2EF0" w:rsidRPr="003E2AE9" w:rsidRDefault="003F2EF0" w:rsidP="003F2EF0">
      <w:pPr>
        <w:jc w:val="both"/>
        <w:rPr>
          <w:lang w:val="hr-HR"/>
        </w:rPr>
      </w:pPr>
      <w:r w:rsidRPr="003E2AE9">
        <w:rPr>
          <w:lang w:val="hr-HR"/>
        </w:rPr>
        <w:t>Prihode od prodaje proizvoda i roba te pruženih usluga i prihode od donacija planiraju proračunski korisnici i to su njihovi namjenski prihodi. Ovi prihodi novim planom za 202</w:t>
      </w:r>
      <w:r>
        <w:rPr>
          <w:lang w:val="hr-HR"/>
        </w:rPr>
        <w:t>5</w:t>
      </w:r>
      <w:r w:rsidRPr="003E2AE9">
        <w:rPr>
          <w:lang w:val="hr-HR"/>
        </w:rPr>
        <w:t xml:space="preserve">. godinu planirani su u </w:t>
      </w:r>
      <w:r w:rsidRPr="0051793F">
        <w:rPr>
          <w:lang w:val="hr-HR"/>
        </w:rPr>
        <w:t xml:space="preserve">iznosu od </w:t>
      </w:r>
      <w:r w:rsidR="00B405CE">
        <w:rPr>
          <w:lang w:val="hr-HR"/>
        </w:rPr>
        <w:t>260,4</w:t>
      </w:r>
      <w:r w:rsidRPr="0051793F">
        <w:rPr>
          <w:lang w:val="hr-HR"/>
        </w:rPr>
        <w:t xml:space="preserve"> milijuna eura i povećavaju se za </w:t>
      </w:r>
      <w:r w:rsidR="00B405CE">
        <w:rPr>
          <w:lang w:val="hr-HR"/>
        </w:rPr>
        <w:t xml:space="preserve">27,9 </w:t>
      </w:r>
      <w:r w:rsidRPr="0051793F">
        <w:rPr>
          <w:lang w:val="hr-HR"/>
        </w:rPr>
        <w:t>milijuna eura u odnosu na iznos planiran proračunom za 202</w:t>
      </w:r>
      <w:r>
        <w:rPr>
          <w:lang w:val="hr-HR"/>
        </w:rPr>
        <w:t>5</w:t>
      </w:r>
      <w:r w:rsidRPr="0051793F">
        <w:rPr>
          <w:lang w:val="hr-HR"/>
        </w:rPr>
        <w:t>. godinu.</w:t>
      </w:r>
      <w:r w:rsidRPr="003E2AE9">
        <w:rPr>
          <w:lang w:val="hr-HR"/>
        </w:rPr>
        <w:t xml:space="preserve"> </w:t>
      </w:r>
    </w:p>
    <w:p w:rsidR="0068374C" w:rsidRPr="003E2AE9" w:rsidRDefault="0068374C" w:rsidP="0068374C">
      <w:pPr>
        <w:jc w:val="both"/>
        <w:rPr>
          <w:b/>
          <w:i/>
          <w:lang w:val="hr-HR"/>
        </w:rPr>
      </w:pPr>
      <w:r w:rsidRPr="003E2AE9">
        <w:rPr>
          <w:b/>
          <w:i/>
          <w:lang w:val="hr-HR"/>
        </w:rPr>
        <w:t>Prihodi iz nadležnog proračuna i od HZZO-a temeljem ugovornih obveza</w:t>
      </w:r>
    </w:p>
    <w:p w:rsidR="003F2EF0" w:rsidRPr="007E5DA9" w:rsidRDefault="003F2EF0" w:rsidP="003F2EF0">
      <w:pPr>
        <w:spacing w:before="240"/>
        <w:jc w:val="both"/>
        <w:rPr>
          <w:rFonts w:eastAsia="Calibri" w:cstheme="minorHAnsi"/>
          <w:lang w:val="hr-HR"/>
        </w:rPr>
      </w:pPr>
      <w:r w:rsidRPr="0051793F">
        <w:rPr>
          <w:lang w:val="hr-HR"/>
        </w:rPr>
        <w:t>Novim planom za 202</w:t>
      </w:r>
      <w:r>
        <w:rPr>
          <w:lang w:val="hr-HR"/>
        </w:rPr>
        <w:t>5</w:t>
      </w:r>
      <w:r w:rsidRPr="0051793F">
        <w:rPr>
          <w:lang w:val="hr-HR"/>
        </w:rPr>
        <w:t xml:space="preserve">. godinu očekuje se kako će prihodi iz nadležnog proračuna i od HZZO-a temeljem ugovornih obveza </w:t>
      </w:r>
      <w:r>
        <w:rPr>
          <w:lang w:val="hr-HR"/>
        </w:rPr>
        <w:t xml:space="preserve">prema bolničkim zdravstvenim ustanovama u državnom vlasništvu, </w:t>
      </w:r>
      <w:r w:rsidRPr="0051793F">
        <w:rPr>
          <w:lang w:val="hr-HR"/>
        </w:rPr>
        <w:t xml:space="preserve">iznositi </w:t>
      </w:r>
      <w:r w:rsidR="00BC4208">
        <w:rPr>
          <w:lang w:val="hr-HR"/>
        </w:rPr>
        <w:t>3,1</w:t>
      </w:r>
      <w:r>
        <w:rPr>
          <w:lang w:val="hr-HR"/>
        </w:rPr>
        <w:t xml:space="preserve"> </w:t>
      </w:r>
      <w:r w:rsidRPr="00BC4208">
        <w:rPr>
          <w:lang w:val="hr-HR"/>
        </w:rPr>
        <w:t xml:space="preserve">milijarde eura, a u odnosu na prvotno planirane povećavaju se za </w:t>
      </w:r>
      <w:r w:rsidR="00BC4208" w:rsidRPr="00BC4208">
        <w:rPr>
          <w:lang w:val="hr-HR"/>
        </w:rPr>
        <w:t xml:space="preserve">125,8 </w:t>
      </w:r>
      <w:r w:rsidRPr="00BC4208">
        <w:rPr>
          <w:lang w:val="hr-HR"/>
        </w:rPr>
        <w:t xml:space="preserve"> milijun</w:t>
      </w:r>
      <w:r w:rsidR="00BC4208" w:rsidRPr="00BC4208">
        <w:rPr>
          <w:lang w:val="hr-HR"/>
        </w:rPr>
        <w:t>a</w:t>
      </w:r>
      <w:r w:rsidRPr="00BC4208">
        <w:rPr>
          <w:lang w:val="hr-HR"/>
        </w:rPr>
        <w:t xml:space="preserve"> eura.</w:t>
      </w:r>
      <w:r w:rsidRPr="003E2AE9">
        <w:rPr>
          <w:lang w:val="hr-HR"/>
        </w:rPr>
        <w:t xml:space="preserve"> </w:t>
      </w:r>
    </w:p>
    <w:p w:rsidR="0068374C" w:rsidRPr="003E2AE9" w:rsidRDefault="0068374C" w:rsidP="0068374C">
      <w:pPr>
        <w:jc w:val="both"/>
        <w:rPr>
          <w:b/>
          <w:i/>
          <w:lang w:val="hr-HR"/>
        </w:rPr>
      </w:pPr>
      <w:r w:rsidRPr="003E2AE9">
        <w:rPr>
          <w:b/>
          <w:i/>
          <w:lang w:val="hr-HR"/>
        </w:rPr>
        <w:t>Kazne, upravne mjere i ostali prihodi</w:t>
      </w:r>
    </w:p>
    <w:p w:rsidR="003F2EF0" w:rsidRPr="005D6938" w:rsidRDefault="003F2EF0" w:rsidP="003F2EF0">
      <w:pPr>
        <w:jc w:val="both"/>
        <w:rPr>
          <w:lang w:val="hr-HR"/>
        </w:rPr>
      </w:pPr>
      <w:r w:rsidRPr="003E2AE9">
        <w:rPr>
          <w:lang w:val="hr-HR"/>
        </w:rPr>
        <w:t>Prihodi od kazni, upravnih mjera i ostalih prihoda novim planom za 202</w:t>
      </w:r>
      <w:r>
        <w:rPr>
          <w:lang w:val="hr-HR"/>
        </w:rPr>
        <w:t>5</w:t>
      </w:r>
      <w:r w:rsidRPr="003E2AE9">
        <w:rPr>
          <w:lang w:val="hr-HR"/>
        </w:rPr>
        <w:t xml:space="preserve">. godinu iznose </w:t>
      </w:r>
      <w:r w:rsidR="001E029A">
        <w:rPr>
          <w:lang w:val="hr-HR"/>
        </w:rPr>
        <w:t>175,7</w:t>
      </w:r>
      <w:r>
        <w:rPr>
          <w:lang w:val="hr-HR"/>
        </w:rPr>
        <w:t xml:space="preserve"> milijuna </w:t>
      </w:r>
      <w:r w:rsidRPr="007A4E77">
        <w:rPr>
          <w:lang w:val="hr-HR"/>
        </w:rPr>
        <w:t xml:space="preserve">eura i rastu za </w:t>
      </w:r>
      <w:r w:rsidR="001E029A">
        <w:rPr>
          <w:lang w:val="hr-HR"/>
        </w:rPr>
        <w:t>11,8</w:t>
      </w:r>
      <w:r w:rsidRPr="007A4E77">
        <w:rPr>
          <w:lang w:val="hr-HR"/>
        </w:rPr>
        <w:t xml:space="preserve"> milijuna</w:t>
      </w:r>
      <w:r>
        <w:rPr>
          <w:lang w:val="hr-HR"/>
        </w:rPr>
        <w:t xml:space="preserve"> eura</w:t>
      </w:r>
      <w:r w:rsidRPr="003E2AE9">
        <w:rPr>
          <w:lang w:val="hr-HR"/>
        </w:rPr>
        <w:t xml:space="preserve"> u odnosu na prvotni plan. Ovi prihodi planirani su sukladno</w:t>
      </w:r>
      <w:r>
        <w:rPr>
          <w:lang w:val="hr-HR"/>
        </w:rPr>
        <w:t xml:space="preserve"> dinamici</w:t>
      </w:r>
      <w:r w:rsidRPr="003E2AE9">
        <w:rPr>
          <w:lang w:val="hr-HR"/>
        </w:rPr>
        <w:t xml:space="preserve"> ostvarenj</w:t>
      </w:r>
      <w:r>
        <w:rPr>
          <w:lang w:val="hr-HR"/>
        </w:rPr>
        <w:t>a</w:t>
      </w:r>
      <w:r w:rsidRPr="003E2AE9">
        <w:rPr>
          <w:lang w:val="hr-HR"/>
        </w:rPr>
        <w:t xml:space="preserve"> </w:t>
      </w:r>
      <w:r>
        <w:rPr>
          <w:lang w:val="hr-HR"/>
        </w:rPr>
        <w:t xml:space="preserve">ovih </w:t>
      </w:r>
      <w:r w:rsidRPr="003E2AE9">
        <w:rPr>
          <w:lang w:val="hr-HR"/>
        </w:rPr>
        <w:t>proračunskih prihoda u</w:t>
      </w:r>
      <w:r>
        <w:rPr>
          <w:lang w:val="hr-HR"/>
        </w:rPr>
        <w:t xml:space="preserve"> prvih osam mjeseci ove godine</w:t>
      </w:r>
      <w:r w:rsidRPr="003E2AE9">
        <w:rPr>
          <w:lang w:val="hr-HR"/>
        </w:rPr>
        <w:t xml:space="preserve"> te očekivanim kretanjima do kraja godine. </w:t>
      </w:r>
    </w:p>
    <w:p w:rsidR="0068374C" w:rsidRPr="003E2AE9" w:rsidRDefault="0068374C" w:rsidP="0068374C">
      <w:pPr>
        <w:jc w:val="both"/>
        <w:rPr>
          <w:b/>
          <w:lang w:val="hr-HR"/>
        </w:rPr>
      </w:pPr>
      <w:r w:rsidRPr="003E2AE9">
        <w:rPr>
          <w:b/>
          <w:lang w:val="hr-HR"/>
        </w:rPr>
        <w:t>Prihodi od prodaje nefinancijske imovine</w:t>
      </w:r>
    </w:p>
    <w:p w:rsidR="009D7AA4" w:rsidRDefault="003F2EF0" w:rsidP="000722E3">
      <w:pPr>
        <w:jc w:val="both"/>
        <w:rPr>
          <w:lang w:val="hr-HR"/>
        </w:rPr>
      </w:pPr>
      <w:r w:rsidRPr="003E2AE9">
        <w:rPr>
          <w:lang w:val="hr-HR"/>
        </w:rPr>
        <w:t xml:space="preserve">Prihodi od prodaje nefinancijske imovine Izmjenama i dopunama Državnog proračuna </w:t>
      </w:r>
      <w:r>
        <w:rPr>
          <w:lang w:val="hr-HR"/>
        </w:rPr>
        <w:t>RH</w:t>
      </w:r>
      <w:r w:rsidRPr="003E2AE9">
        <w:rPr>
          <w:lang w:val="hr-HR"/>
        </w:rPr>
        <w:t xml:space="preserve"> za 202</w:t>
      </w:r>
      <w:r>
        <w:rPr>
          <w:lang w:val="hr-HR"/>
        </w:rPr>
        <w:t>5</w:t>
      </w:r>
      <w:r w:rsidRPr="003E2AE9">
        <w:rPr>
          <w:lang w:val="hr-HR"/>
        </w:rPr>
        <w:t xml:space="preserve">. godinu planiraju se u </w:t>
      </w:r>
      <w:r w:rsidRPr="007A4E77">
        <w:rPr>
          <w:lang w:val="hr-HR"/>
        </w:rPr>
        <w:t xml:space="preserve">iznosu od </w:t>
      </w:r>
      <w:r w:rsidR="009D7AA4">
        <w:rPr>
          <w:lang w:val="hr-HR"/>
        </w:rPr>
        <w:t>50,7</w:t>
      </w:r>
      <w:r w:rsidRPr="007A4E77">
        <w:rPr>
          <w:lang w:val="hr-HR"/>
        </w:rPr>
        <w:t xml:space="preserve"> milijuna eura i </w:t>
      </w:r>
      <w:r>
        <w:rPr>
          <w:lang w:val="hr-HR"/>
        </w:rPr>
        <w:t>smanjuju</w:t>
      </w:r>
      <w:r w:rsidRPr="007A4E77">
        <w:rPr>
          <w:lang w:val="hr-HR"/>
        </w:rPr>
        <w:t xml:space="preserve"> se za </w:t>
      </w:r>
      <w:r w:rsidR="009D7AA4">
        <w:rPr>
          <w:lang w:val="hr-HR"/>
        </w:rPr>
        <w:t>39,8</w:t>
      </w:r>
      <w:r w:rsidRPr="007A4E77">
        <w:rPr>
          <w:lang w:val="hr-HR"/>
        </w:rPr>
        <w:t xml:space="preserve"> milijuna</w:t>
      </w:r>
      <w:r>
        <w:rPr>
          <w:lang w:val="hr-HR"/>
        </w:rPr>
        <w:t xml:space="preserve"> eura</w:t>
      </w:r>
      <w:r w:rsidR="000722E3">
        <w:rPr>
          <w:lang w:val="hr-HR"/>
        </w:rPr>
        <w:t xml:space="preserve"> u odnosu na prvotni plan, prije svega zbog smanjenja prihoda </w:t>
      </w:r>
      <w:r w:rsidR="000722E3" w:rsidRPr="006B0F2A">
        <w:rPr>
          <w:lang w:val="hr-HR"/>
        </w:rPr>
        <w:t xml:space="preserve">od prodaje zaliha odnosno nafte i naftnih derivata radi </w:t>
      </w:r>
      <w:proofErr w:type="spellStart"/>
      <w:r w:rsidR="000722E3" w:rsidRPr="006B0F2A">
        <w:rPr>
          <w:lang w:val="hr-HR"/>
        </w:rPr>
        <w:t>zanavljanja</w:t>
      </w:r>
      <w:proofErr w:type="spellEnd"/>
      <w:r w:rsidR="000722E3" w:rsidRPr="006B0F2A">
        <w:rPr>
          <w:lang w:val="hr-HR"/>
        </w:rPr>
        <w:t xml:space="preserve"> zaliha</w:t>
      </w:r>
      <w:r w:rsidR="000722E3">
        <w:rPr>
          <w:lang w:val="hr-HR"/>
        </w:rPr>
        <w:t>, kao i smanjenja prihoda od prodaje građevinskih objekata.</w:t>
      </w:r>
    </w:p>
    <w:p w:rsidR="000722E3" w:rsidRDefault="000722E3" w:rsidP="000722E3">
      <w:pPr>
        <w:jc w:val="both"/>
        <w:rPr>
          <w:lang w:val="hr-HR"/>
        </w:rPr>
      </w:pPr>
    </w:p>
    <w:p w:rsidR="000722E3" w:rsidRDefault="000722E3" w:rsidP="000722E3">
      <w:pPr>
        <w:jc w:val="both"/>
        <w:rPr>
          <w:lang w:val="hr-HR"/>
        </w:rPr>
      </w:pPr>
    </w:p>
    <w:p w:rsidR="000722E3" w:rsidRDefault="000722E3" w:rsidP="000722E3">
      <w:pPr>
        <w:jc w:val="both"/>
        <w:rPr>
          <w:lang w:val="hr-HR"/>
        </w:rPr>
      </w:pPr>
    </w:p>
    <w:p w:rsidR="000722E3" w:rsidRDefault="000722E3" w:rsidP="000722E3">
      <w:pPr>
        <w:jc w:val="both"/>
        <w:rPr>
          <w:lang w:val="hr-HR"/>
        </w:rPr>
      </w:pPr>
    </w:p>
    <w:p w:rsidR="000722E3" w:rsidRDefault="000722E3" w:rsidP="000722E3">
      <w:pPr>
        <w:jc w:val="both"/>
        <w:rPr>
          <w:lang w:val="hr-HR"/>
        </w:rPr>
      </w:pPr>
    </w:p>
    <w:p w:rsidR="000722E3" w:rsidRDefault="000722E3" w:rsidP="000722E3">
      <w:pPr>
        <w:jc w:val="both"/>
        <w:rPr>
          <w:lang w:val="hr-HR"/>
        </w:rPr>
      </w:pPr>
    </w:p>
    <w:p w:rsidR="000722E3" w:rsidRDefault="000722E3" w:rsidP="000722E3">
      <w:pPr>
        <w:jc w:val="both"/>
        <w:rPr>
          <w:lang w:val="hr-HR"/>
        </w:rPr>
      </w:pPr>
    </w:p>
    <w:p w:rsidR="000722E3" w:rsidRPr="000722E3" w:rsidRDefault="000722E3" w:rsidP="000722E3">
      <w:pPr>
        <w:jc w:val="both"/>
        <w:rPr>
          <w:lang w:val="hr-HR"/>
        </w:rPr>
      </w:pPr>
    </w:p>
    <w:p w:rsidR="00025948" w:rsidRPr="009D7AA4" w:rsidRDefault="00025948" w:rsidP="0076522F">
      <w:pPr>
        <w:pStyle w:val="Caption"/>
        <w:spacing w:before="240" w:after="120"/>
        <w:jc w:val="both"/>
        <w:rPr>
          <w:rFonts w:asciiTheme="minorHAnsi" w:hAnsiTheme="minorHAnsi"/>
          <w:b w:val="0"/>
          <w:i/>
          <w:sz w:val="22"/>
          <w:szCs w:val="22"/>
        </w:rPr>
      </w:pPr>
      <w:r w:rsidRPr="009D7AA4">
        <w:rPr>
          <w:rFonts w:asciiTheme="minorHAnsi" w:hAnsiTheme="minorHAnsi"/>
          <w:b w:val="0"/>
          <w:i/>
          <w:sz w:val="22"/>
          <w:szCs w:val="22"/>
        </w:rPr>
        <w:lastRenderedPageBreak/>
        <w:t xml:space="preserve">Tablica </w:t>
      </w:r>
      <w:r w:rsidR="00F03484" w:rsidRPr="009D7AA4">
        <w:rPr>
          <w:rFonts w:asciiTheme="minorHAnsi" w:hAnsiTheme="minorHAnsi"/>
          <w:b w:val="0"/>
          <w:i/>
          <w:sz w:val="22"/>
          <w:szCs w:val="22"/>
        </w:rPr>
        <w:t>2</w:t>
      </w:r>
      <w:r w:rsidRPr="009D7AA4">
        <w:rPr>
          <w:rFonts w:asciiTheme="minorHAnsi" w:hAnsiTheme="minorHAnsi"/>
          <w:b w:val="0"/>
          <w:i/>
          <w:sz w:val="22"/>
          <w:szCs w:val="22"/>
        </w:rPr>
        <w:t>. Prihodi državnog proračuna za 20</w:t>
      </w:r>
      <w:r w:rsidR="00890A93" w:rsidRPr="009D7AA4">
        <w:rPr>
          <w:rFonts w:asciiTheme="minorHAnsi" w:hAnsiTheme="minorHAnsi"/>
          <w:b w:val="0"/>
          <w:i/>
          <w:sz w:val="22"/>
          <w:szCs w:val="22"/>
        </w:rPr>
        <w:t>2</w:t>
      </w:r>
      <w:r w:rsidR="003F2EF0" w:rsidRPr="009D7AA4">
        <w:rPr>
          <w:rFonts w:asciiTheme="minorHAnsi" w:hAnsiTheme="minorHAnsi"/>
          <w:b w:val="0"/>
          <w:i/>
          <w:sz w:val="22"/>
          <w:szCs w:val="22"/>
        </w:rPr>
        <w:t>5</w:t>
      </w:r>
      <w:r w:rsidRPr="009D7AA4">
        <w:rPr>
          <w:rFonts w:asciiTheme="minorHAnsi" w:hAnsiTheme="minorHAnsi"/>
          <w:b w:val="0"/>
          <w:i/>
          <w:sz w:val="22"/>
          <w:szCs w:val="22"/>
        </w:rPr>
        <w:t>. godinu</w:t>
      </w:r>
    </w:p>
    <w:p w:rsidR="000D3576" w:rsidRPr="009D7AA4" w:rsidRDefault="00D72271" w:rsidP="00364E3D">
      <w:pPr>
        <w:spacing w:after="0"/>
        <w:rPr>
          <w:noProof/>
          <w:lang w:val="hr-HR" w:eastAsia="hr-HR"/>
        </w:rPr>
      </w:pPr>
      <w:r w:rsidRPr="00D72271">
        <w:rPr>
          <w:noProof/>
          <w:lang w:val="hr-HR" w:eastAsia="hr-HR"/>
        </w:rPr>
        <w:drawing>
          <wp:inline distT="0" distB="0" distL="0" distR="0">
            <wp:extent cx="6327960" cy="3840480"/>
            <wp:effectExtent l="0" t="0" r="0" b="762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7604" cy="3858471"/>
                    </a:xfrm>
                    <a:prstGeom prst="rect">
                      <a:avLst/>
                    </a:prstGeom>
                    <a:noFill/>
                    <a:ln>
                      <a:noFill/>
                    </a:ln>
                  </pic:spPr>
                </pic:pic>
              </a:graphicData>
            </a:graphic>
          </wp:inline>
        </w:drawing>
      </w:r>
    </w:p>
    <w:p w:rsidR="00025948" w:rsidRPr="00A22498" w:rsidRDefault="00025948" w:rsidP="00A22498">
      <w:pPr>
        <w:jc w:val="both"/>
        <w:rPr>
          <w:rFonts w:cs="Times New Roman"/>
          <w:i/>
          <w:color w:val="000000"/>
          <w:lang w:val="hr-HR"/>
        </w:rPr>
      </w:pPr>
      <w:r w:rsidRPr="009D7AA4">
        <w:rPr>
          <w:rFonts w:cs="Times New Roman"/>
          <w:i/>
          <w:color w:val="000000"/>
          <w:lang w:val="hr-HR"/>
        </w:rPr>
        <w:t>Izvor: Ministarstvo financija</w:t>
      </w:r>
      <w:r w:rsidRPr="009B5CBF">
        <w:rPr>
          <w:lang w:val="hr-HR"/>
        </w:rPr>
        <w:br w:type="page"/>
      </w:r>
    </w:p>
    <w:p w:rsidR="00A461B3" w:rsidRPr="000514D2" w:rsidRDefault="00A461B3" w:rsidP="00A461B3">
      <w:pPr>
        <w:pStyle w:val="Heading1"/>
        <w:numPr>
          <w:ilvl w:val="0"/>
          <w:numId w:val="1"/>
        </w:numPr>
        <w:rPr>
          <w:lang w:val="hr-HR"/>
        </w:rPr>
      </w:pPr>
      <w:bookmarkStart w:id="7" w:name="_Toc381720707"/>
      <w:bookmarkStart w:id="8" w:name="_Toc497069943"/>
      <w:bookmarkStart w:id="9" w:name="_Toc23378480"/>
      <w:bookmarkStart w:id="10" w:name="_Toc210305051"/>
      <w:r w:rsidRPr="000514D2">
        <w:rPr>
          <w:lang w:val="hr-HR"/>
        </w:rPr>
        <w:lastRenderedPageBreak/>
        <w:t>RASHODI DRŽAVNOG PRORAČUNA</w:t>
      </w:r>
      <w:bookmarkEnd w:id="7"/>
      <w:bookmarkEnd w:id="8"/>
      <w:bookmarkEnd w:id="9"/>
      <w:bookmarkEnd w:id="10"/>
      <w:r w:rsidRPr="000514D2">
        <w:rPr>
          <w:lang w:val="hr-HR"/>
        </w:rPr>
        <w:t xml:space="preserve"> </w:t>
      </w:r>
    </w:p>
    <w:p w:rsidR="00D92DB5" w:rsidRPr="000E4D93" w:rsidRDefault="00D92DB5" w:rsidP="00D92DB5">
      <w:pPr>
        <w:shd w:val="clear" w:color="auto" w:fill="FFFFFF"/>
        <w:spacing w:after="0" w:line="240" w:lineRule="auto"/>
        <w:jc w:val="both"/>
        <w:rPr>
          <w:rFonts w:cstheme="minorHAnsi"/>
          <w:sz w:val="24"/>
          <w:szCs w:val="24"/>
          <w:highlight w:val="yellow"/>
          <w:lang w:val="hr-HR"/>
        </w:rPr>
      </w:pPr>
    </w:p>
    <w:p w:rsidR="0054100C" w:rsidRPr="000E4D93" w:rsidRDefault="0054100C" w:rsidP="0054100C">
      <w:pPr>
        <w:spacing w:after="0" w:line="240" w:lineRule="auto"/>
        <w:jc w:val="both"/>
        <w:rPr>
          <w:rFonts w:cstheme="minorHAnsi"/>
          <w:highlight w:val="yellow"/>
          <w:lang w:val="hr-HR"/>
        </w:rPr>
      </w:pPr>
    </w:p>
    <w:p w:rsidR="009C0C9A" w:rsidRPr="009C0C9A" w:rsidRDefault="009C0C9A" w:rsidP="009C0C9A">
      <w:pPr>
        <w:shd w:val="clear" w:color="auto" w:fill="FFFFFF"/>
        <w:spacing w:after="0"/>
        <w:jc w:val="both"/>
        <w:rPr>
          <w:rFonts w:cstheme="minorHAnsi"/>
          <w:lang w:val="hr-HR"/>
        </w:rPr>
      </w:pPr>
      <w:r w:rsidRPr="009C0C9A">
        <w:rPr>
          <w:rFonts w:cstheme="minorHAnsi"/>
          <w:lang w:val="hr-HR"/>
        </w:rPr>
        <w:t xml:space="preserve">Ovim Izmjenama i dopunama Državnog proračuna za 2025. godinu ukupni rashodi smanjuju se za 223,0 milijuna eura, odnosno </w:t>
      </w:r>
      <w:r w:rsidR="00B07318">
        <w:rPr>
          <w:rFonts w:cstheme="minorHAnsi"/>
          <w:lang w:val="hr-HR"/>
        </w:rPr>
        <w:t>s</w:t>
      </w:r>
      <w:r w:rsidRPr="009C0C9A">
        <w:rPr>
          <w:rFonts w:cstheme="minorHAnsi"/>
          <w:lang w:val="hr-HR"/>
        </w:rPr>
        <w:t xml:space="preserve"> 37,0 milijardi eura na 36,8 milijardi eura pri čemu se rashodi koji se financiraju iz općih prihoda i primitaka, doprinosa i namjenskih primitaka smanjuju za 454,5 milijuna eura, dok se rashodi koji se financiraju iz EU i ostalih izvora povećavaju za 231,4 milijuna eura.</w:t>
      </w:r>
    </w:p>
    <w:p w:rsidR="00AC1D21" w:rsidRPr="000E4D93" w:rsidRDefault="00AC1D21" w:rsidP="00AC1D21">
      <w:pPr>
        <w:shd w:val="clear" w:color="auto" w:fill="FFFFFF"/>
        <w:spacing w:after="0"/>
        <w:jc w:val="both"/>
        <w:rPr>
          <w:rFonts w:cstheme="minorHAnsi"/>
          <w:highlight w:val="yellow"/>
          <w:lang w:val="hr-HR"/>
        </w:rPr>
      </w:pPr>
    </w:p>
    <w:p w:rsidR="009C0C9A" w:rsidRDefault="009C0C9A" w:rsidP="009C0C9A">
      <w:pPr>
        <w:shd w:val="clear" w:color="auto" w:fill="FFFFFF"/>
        <w:spacing w:after="0"/>
        <w:jc w:val="both"/>
        <w:rPr>
          <w:rFonts w:cstheme="minorHAnsi"/>
          <w:lang w:val="hr-HR"/>
        </w:rPr>
      </w:pPr>
      <w:r w:rsidRPr="009C0C9A">
        <w:rPr>
          <w:rFonts w:cstheme="minorHAnsi"/>
          <w:lang w:val="hr-HR"/>
        </w:rPr>
        <w:t xml:space="preserve">Najznačajnija kretanja na stavkama rashoda vezana su uz osiguranje dodatnih sredstava </w:t>
      </w:r>
      <w:r w:rsidRPr="009C0C9A">
        <w:rPr>
          <w:rFonts w:cstheme="minorHAnsi"/>
          <w:bCs/>
          <w:lang w:val="hr-HR"/>
        </w:rPr>
        <w:t xml:space="preserve">za  mirovine i </w:t>
      </w:r>
      <w:proofErr w:type="spellStart"/>
      <w:r w:rsidRPr="009C0C9A">
        <w:rPr>
          <w:rFonts w:cstheme="minorHAnsi"/>
          <w:bCs/>
          <w:lang w:val="hr-HR"/>
        </w:rPr>
        <w:t>inkluzivni</w:t>
      </w:r>
      <w:proofErr w:type="spellEnd"/>
      <w:r w:rsidRPr="009C0C9A">
        <w:rPr>
          <w:rFonts w:cstheme="minorHAnsi"/>
          <w:bCs/>
          <w:lang w:val="hr-HR"/>
        </w:rPr>
        <w:t xml:space="preserve"> dodatak te </w:t>
      </w:r>
      <w:r w:rsidRPr="009C0C9A">
        <w:rPr>
          <w:rFonts w:cstheme="minorHAnsi"/>
          <w:lang w:val="hr-HR"/>
        </w:rPr>
        <w:t>za rashode za zaposlene zbog rasta osnovice za obračun plaće</w:t>
      </w:r>
      <w:r w:rsidR="0033747C">
        <w:rPr>
          <w:rFonts w:cstheme="minorHAnsi"/>
          <w:lang w:val="hr-HR"/>
        </w:rPr>
        <w:t xml:space="preserve"> u državnim i javnim službama. </w:t>
      </w:r>
      <w:r w:rsidRPr="009C0C9A">
        <w:rPr>
          <w:rFonts w:cstheme="minorHAnsi"/>
          <w:lang w:val="hr-HR"/>
        </w:rPr>
        <w:t xml:space="preserve">Ova sredstva osigurana su uštedama koje su rezultat promjene dinamike provedbe projekata kod krajnjih korisnika te stabilizacije na energetskom tržištu uslijed čega su smanjena izdvajanja za subvencioniranje cijene energenata. Također, financiranje dijela projekata i investicija prvotno planirano za financiranje iz općih prihoda i primitaka usmjereno je na financiranje iz EU bespovratnih sredstava u skladu s revidiranim prioritetima kohezijske politike. Naime, Vijeće EU 18. rujna 2025. odobrilo je promjene propisa koji reguliraju kohezijsku politiku kako bi se olakšalo preusmjeravanje tih sredstava u nove prioritete, posebice u obranu, sigurnost, civilnu zaštitu, održivo upravljanje vodama, pristupačno stanovanje, konkurentnost i </w:t>
      </w:r>
      <w:proofErr w:type="spellStart"/>
      <w:r w:rsidRPr="009C0C9A">
        <w:rPr>
          <w:rFonts w:cstheme="minorHAnsi"/>
          <w:lang w:val="hr-HR"/>
        </w:rPr>
        <w:t>dekarbonizaciju</w:t>
      </w:r>
      <w:proofErr w:type="spellEnd"/>
      <w:r w:rsidRPr="009C0C9A">
        <w:rPr>
          <w:rFonts w:cstheme="minorHAnsi"/>
          <w:lang w:val="hr-HR"/>
        </w:rPr>
        <w:t xml:space="preserve"> te energetsku tranziciju. Promjene obuhvaćaju uredbe o Europskom fondu za regionalni razvoj (EFRR) i Kohezijskom fondu te o Fondu za pravednu tranziciju (FPT) i Uredbu o Europskom socijalnom fondu plus (ESF+).</w:t>
      </w:r>
    </w:p>
    <w:p w:rsidR="0023360D" w:rsidRDefault="0023360D" w:rsidP="0023360D">
      <w:pPr>
        <w:shd w:val="clear" w:color="auto" w:fill="FFFFFF"/>
        <w:spacing w:after="0"/>
        <w:jc w:val="both"/>
        <w:rPr>
          <w:rFonts w:cstheme="minorHAnsi"/>
          <w:lang w:val="hr-HR"/>
        </w:rPr>
      </w:pPr>
    </w:p>
    <w:p w:rsidR="0023360D" w:rsidRPr="0023360D" w:rsidRDefault="0023360D" w:rsidP="0023360D">
      <w:pPr>
        <w:shd w:val="clear" w:color="auto" w:fill="FFFFFF"/>
        <w:spacing w:after="0"/>
        <w:jc w:val="both"/>
        <w:rPr>
          <w:rFonts w:cstheme="minorHAnsi"/>
          <w:lang w:val="hr-HR"/>
        </w:rPr>
      </w:pPr>
      <w:r w:rsidRPr="0023360D">
        <w:rPr>
          <w:rFonts w:cstheme="minorHAnsi"/>
          <w:lang w:val="hr-HR"/>
        </w:rPr>
        <w:t xml:space="preserve">Kroz ove Izmjene i dopune osigurana su sredstva za 9. paket mjera Vlade Republike Hrvatske za zaštitu standarda građana i konkurentnosti gospodarstva u ukupnom iznosu u 2025. godini od 55,1 milijuna eura. Ovim mjerama se i nadalje građanima, kućanstvima, javnom i neprofitnom sektoru te poduzetnicima koji u pola godine potroše do 250.000 kWh električne energije osigurava cjenovno pristupačna struja. Za kućanstva se nastavljaju mjere za plin i </w:t>
      </w:r>
      <w:proofErr w:type="spellStart"/>
      <w:r w:rsidRPr="0023360D">
        <w:rPr>
          <w:rFonts w:cstheme="minorHAnsi"/>
          <w:lang w:val="hr-HR"/>
        </w:rPr>
        <w:t>toplinarstvo</w:t>
      </w:r>
      <w:proofErr w:type="spellEnd"/>
      <w:r w:rsidRPr="0023360D">
        <w:rPr>
          <w:rFonts w:cstheme="minorHAnsi"/>
          <w:lang w:val="hr-HR"/>
        </w:rPr>
        <w:t>. Naime, iako se kreće u postupno otpuštanje mjera zbog, prije svega stabilizacije cijena energenata na tržištu, i dalje će cijene prosječnih računa biti niže nego što bi bile bez subvencija Vlade Republike Hrvatske. Također, na snazi ostaju mjere za ugrožene kupce energenata kroz naknadu od 70 eura mjesečno te se nastavlja i s mjerama potpore studentima i nezaposlenim hrvatskim braniteljima.</w:t>
      </w:r>
    </w:p>
    <w:p w:rsidR="0023360D" w:rsidRPr="009C0C9A" w:rsidRDefault="0023360D" w:rsidP="009C0C9A">
      <w:pPr>
        <w:shd w:val="clear" w:color="auto" w:fill="FFFFFF"/>
        <w:spacing w:after="0"/>
        <w:jc w:val="both"/>
        <w:rPr>
          <w:rFonts w:cstheme="minorHAnsi"/>
          <w:lang w:val="hr-HR"/>
        </w:rPr>
      </w:pPr>
    </w:p>
    <w:p w:rsidR="001420F8" w:rsidRPr="001420F8" w:rsidRDefault="001420F8" w:rsidP="001420F8">
      <w:pPr>
        <w:shd w:val="clear" w:color="auto" w:fill="FFFFFF"/>
        <w:spacing w:after="0"/>
        <w:jc w:val="both"/>
        <w:rPr>
          <w:rFonts w:cstheme="minorHAnsi"/>
          <w:lang w:val="hr-HR"/>
        </w:rPr>
      </w:pPr>
      <w:r w:rsidRPr="001420F8">
        <w:rPr>
          <w:rFonts w:cstheme="minorHAnsi"/>
          <w:lang w:val="hr-HR"/>
        </w:rPr>
        <w:t>Unutar rashoda financiranih iz općih prihoda i primitaka, doprinosa i namjenskih primitaka najznačajnija povećanja rashoda vezana su za:</w:t>
      </w:r>
    </w:p>
    <w:p w:rsidR="001420F8" w:rsidRPr="001420F8" w:rsidRDefault="001420F8" w:rsidP="001420F8">
      <w:pPr>
        <w:numPr>
          <w:ilvl w:val="0"/>
          <w:numId w:val="6"/>
        </w:numPr>
        <w:shd w:val="clear" w:color="auto" w:fill="FFFFFF"/>
        <w:spacing w:after="0"/>
        <w:jc w:val="both"/>
        <w:rPr>
          <w:rFonts w:cstheme="minorHAnsi"/>
          <w:lang w:val="hr-HR"/>
        </w:rPr>
      </w:pPr>
      <w:r w:rsidRPr="001420F8">
        <w:rPr>
          <w:rFonts w:cstheme="minorHAnsi"/>
          <w:lang w:val="hr-HR"/>
        </w:rPr>
        <w:t xml:space="preserve">mirovine i mirovinska primanja u iznosu od 509,0 milijuna eura </w:t>
      </w:r>
    </w:p>
    <w:p w:rsidR="001420F8" w:rsidRPr="001420F8" w:rsidRDefault="001420F8" w:rsidP="001420F8">
      <w:pPr>
        <w:numPr>
          <w:ilvl w:val="0"/>
          <w:numId w:val="6"/>
        </w:numPr>
        <w:shd w:val="clear" w:color="auto" w:fill="FFFFFF"/>
        <w:spacing w:after="0"/>
        <w:jc w:val="both"/>
        <w:rPr>
          <w:rFonts w:cstheme="minorHAnsi"/>
          <w:lang w:val="hr-HR"/>
        </w:rPr>
      </w:pPr>
      <w:r w:rsidRPr="001420F8">
        <w:rPr>
          <w:rFonts w:cstheme="minorHAnsi"/>
          <w:lang w:val="hr-HR"/>
        </w:rPr>
        <w:t>rashode za zaposlene (uključujući i rashode za zaposlene u osnovnom i srednjem školstvu) u iznosu od 306,3 milijuna eura</w:t>
      </w:r>
    </w:p>
    <w:p w:rsidR="001420F8" w:rsidRPr="001420F8" w:rsidRDefault="001420F8" w:rsidP="001420F8">
      <w:pPr>
        <w:numPr>
          <w:ilvl w:val="0"/>
          <w:numId w:val="6"/>
        </w:numPr>
        <w:shd w:val="clear" w:color="auto" w:fill="FFFFFF"/>
        <w:spacing w:after="0"/>
        <w:jc w:val="both"/>
        <w:rPr>
          <w:rFonts w:cstheme="minorHAnsi"/>
          <w:lang w:val="hr-HR"/>
        </w:rPr>
      </w:pPr>
      <w:r w:rsidRPr="001420F8">
        <w:rPr>
          <w:rFonts w:cstheme="minorHAnsi"/>
          <w:lang w:val="hr-HR"/>
        </w:rPr>
        <w:t xml:space="preserve">socijalne pomoći i naknade u iznosu od 188,2 milijuna eura ( od čega najvećim dijelom </w:t>
      </w:r>
      <w:proofErr w:type="spellStart"/>
      <w:r w:rsidRPr="001420F8">
        <w:rPr>
          <w:rFonts w:cstheme="minorHAnsi"/>
          <w:lang w:val="hr-HR"/>
        </w:rPr>
        <w:t>inkluzivni</w:t>
      </w:r>
      <w:proofErr w:type="spellEnd"/>
      <w:r w:rsidRPr="001420F8">
        <w:rPr>
          <w:rFonts w:cstheme="minorHAnsi"/>
          <w:lang w:val="hr-HR"/>
        </w:rPr>
        <w:t xml:space="preserve"> dodatak u iznosu od 172,3 milijuna eura)</w:t>
      </w:r>
    </w:p>
    <w:p w:rsidR="001420F8" w:rsidRPr="001420F8" w:rsidRDefault="001420F8" w:rsidP="001420F8">
      <w:pPr>
        <w:numPr>
          <w:ilvl w:val="0"/>
          <w:numId w:val="6"/>
        </w:numPr>
        <w:shd w:val="clear" w:color="auto" w:fill="FFFFFF"/>
        <w:spacing w:after="0"/>
        <w:jc w:val="both"/>
        <w:rPr>
          <w:rFonts w:cstheme="minorHAnsi"/>
          <w:lang w:val="hr-HR"/>
        </w:rPr>
      </w:pPr>
      <w:r w:rsidRPr="001420F8">
        <w:rPr>
          <w:rFonts w:cstheme="minorHAnsi"/>
          <w:lang w:val="hr-HR"/>
        </w:rPr>
        <w:t>ulaganja u željeznički sektor u iznosu od 90,2 milijuna eura,</w:t>
      </w:r>
    </w:p>
    <w:p w:rsidR="001420F8" w:rsidRPr="001420F8" w:rsidRDefault="001420F8" w:rsidP="001420F8">
      <w:pPr>
        <w:numPr>
          <w:ilvl w:val="0"/>
          <w:numId w:val="6"/>
        </w:numPr>
        <w:shd w:val="clear" w:color="auto" w:fill="FFFFFF"/>
        <w:spacing w:after="0"/>
        <w:jc w:val="both"/>
        <w:rPr>
          <w:rFonts w:cstheme="minorHAnsi"/>
          <w:lang w:val="hr-HR"/>
        </w:rPr>
      </w:pPr>
      <w:r w:rsidRPr="001420F8">
        <w:rPr>
          <w:rFonts w:cstheme="minorHAnsi"/>
          <w:lang w:val="hr-HR"/>
        </w:rPr>
        <w:t>doprinos Republike Hrvatske proračunu Europske unije u iznosu od 89,8 milijuna eura</w:t>
      </w:r>
    </w:p>
    <w:p w:rsidR="001420F8" w:rsidRPr="001420F8" w:rsidRDefault="001420F8" w:rsidP="001420F8">
      <w:pPr>
        <w:numPr>
          <w:ilvl w:val="0"/>
          <w:numId w:val="6"/>
        </w:numPr>
        <w:shd w:val="clear" w:color="auto" w:fill="FFFFFF"/>
        <w:spacing w:after="0"/>
        <w:jc w:val="both"/>
        <w:rPr>
          <w:rFonts w:cstheme="minorHAnsi"/>
          <w:lang w:val="hr-HR"/>
        </w:rPr>
      </w:pPr>
      <w:r w:rsidRPr="001420F8">
        <w:rPr>
          <w:rFonts w:cstheme="minorHAnsi"/>
          <w:lang w:val="hr-HR"/>
        </w:rPr>
        <w:t>kamate vezane uz upravljanje javnim dugom u iznosu od 76,1 milijun eura</w:t>
      </w:r>
    </w:p>
    <w:p w:rsidR="001420F8" w:rsidRPr="001420F8" w:rsidRDefault="001420F8" w:rsidP="001420F8">
      <w:pPr>
        <w:numPr>
          <w:ilvl w:val="0"/>
          <w:numId w:val="6"/>
        </w:numPr>
        <w:shd w:val="clear" w:color="auto" w:fill="FFFFFF"/>
        <w:spacing w:after="0"/>
        <w:jc w:val="both"/>
        <w:rPr>
          <w:rFonts w:cstheme="minorHAnsi"/>
          <w:lang w:val="hr-HR"/>
        </w:rPr>
      </w:pPr>
      <w:r w:rsidRPr="001420F8">
        <w:rPr>
          <w:rFonts w:cstheme="minorHAnsi"/>
          <w:lang w:val="hr-HR"/>
        </w:rPr>
        <w:t>kreditne i jamstvene program u gospodarstvu u iznosu od 55,7 milijuna eura</w:t>
      </w:r>
    </w:p>
    <w:p w:rsidR="001420F8" w:rsidRPr="001420F8" w:rsidRDefault="001420F8" w:rsidP="001420F8">
      <w:pPr>
        <w:numPr>
          <w:ilvl w:val="0"/>
          <w:numId w:val="6"/>
        </w:numPr>
        <w:shd w:val="clear" w:color="auto" w:fill="FFFFFF"/>
        <w:tabs>
          <w:tab w:val="num" w:pos="1440"/>
        </w:tabs>
        <w:spacing w:after="0"/>
        <w:jc w:val="both"/>
        <w:rPr>
          <w:rFonts w:cstheme="minorHAnsi"/>
          <w:lang w:val="hr-HR"/>
        </w:rPr>
      </w:pPr>
      <w:r w:rsidRPr="001420F8">
        <w:rPr>
          <w:rFonts w:cstheme="minorHAnsi"/>
          <w:lang w:val="hr-HR"/>
        </w:rPr>
        <w:t xml:space="preserve">dodatni </w:t>
      </w:r>
      <w:proofErr w:type="spellStart"/>
      <w:r w:rsidRPr="001420F8">
        <w:rPr>
          <w:rFonts w:cstheme="minorHAnsi"/>
          <w:lang w:val="hr-HR"/>
        </w:rPr>
        <w:t>rodiljni</w:t>
      </w:r>
      <w:proofErr w:type="spellEnd"/>
      <w:r w:rsidRPr="001420F8">
        <w:rPr>
          <w:rFonts w:cstheme="minorHAnsi"/>
          <w:lang w:val="hr-HR"/>
        </w:rPr>
        <w:t xml:space="preserve"> dopust u iznosu od 43,0 milijuna eura, </w:t>
      </w:r>
    </w:p>
    <w:p w:rsidR="001420F8" w:rsidRPr="001420F8" w:rsidRDefault="001420F8" w:rsidP="001420F8">
      <w:pPr>
        <w:numPr>
          <w:ilvl w:val="0"/>
          <w:numId w:val="6"/>
        </w:numPr>
        <w:shd w:val="clear" w:color="auto" w:fill="FFFFFF"/>
        <w:tabs>
          <w:tab w:val="num" w:pos="1440"/>
        </w:tabs>
        <w:spacing w:after="0"/>
        <w:jc w:val="both"/>
        <w:rPr>
          <w:rFonts w:cstheme="minorHAnsi"/>
          <w:lang w:val="hr-HR"/>
        </w:rPr>
      </w:pPr>
      <w:r w:rsidRPr="001420F8">
        <w:rPr>
          <w:rFonts w:cstheme="minorHAnsi"/>
          <w:lang w:val="hr-HR"/>
        </w:rPr>
        <w:t>potpore poljoprivrednicima, ruralni razvoj, zdravstvenu zaštitu životinja i naknadu štete od divljači u iznosu od 42,5 milijuna eura</w:t>
      </w:r>
    </w:p>
    <w:p w:rsidR="001420F8" w:rsidRPr="001420F8" w:rsidRDefault="001420F8" w:rsidP="001420F8">
      <w:pPr>
        <w:spacing w:after="0" w:line="240" w:lineRule="auto"/>
        <w:jc w:val="both"/>
        <w:rPr>
          <w:rFonts w:cstheme="minorHAnsi"/>
          <w:lang w:val="hr-HR"/>
        </w:rPr>
      </w:pPr>
      <w:r w:rsidRPr="001420F8">
        <w:rPr>
          <w:rFonts w:cstheme="minorHAnsi"/>
          <w:lang w:val="hr-HR"/>
        </w:rPr>
        <w:lastRenderedPageBreak/>
        <w:t>Najznačajnije uštede ostvarene su na izdvajanjima vezanim uz:</w:t>
      </w:r>
    </w:p>
    <w:p w:rsidR="001420F8" w:rsidRPr="001420F8" w:rsidRDefault="001420F8" w:rsidP="001420F8">
      <w:pPr>
        <w:pStyle w:val="ListParagraph"/>
        <w:numPr>
          <w:ilvl w:val="0"/>
          <w:numId w:val="6"/>
        </w:numPr>
        <w:spacing w:after="0" w:line="240" w:lineRule="auto"/>
        <w:jc w:val="both"/>
        <w:rPr>
          <w:rFonts w:cstheme="minorHAnsi"/>
          <w:lang w:val="hr-HR"/>
        </w:rPr>
      </w:pPr>
      <w:r w:rsidRPr="001420F8">
        <w:rPr>
          <w:rFonts w:cstheme="minorHAnsi"/>
          <w:lang w:val="hr-HR"/>
        </w:rPr>
        <w:t>provedbu projekata izvođenja radova i usluga te isporuke opreme u iznosu od 590,3 milijuna eura od čega:</w:t>
      </w:r>
    </w:p>
    <w:p w:rsidR="001420F8" w:rsidRPr="001420F8" w:rsidRDefault="001420F8" w:rsidP="001420F8">
      <w:pPr>
        <w:pStyle w:val="ListParagraph"/>
        <w:numPr>
          <w:ilvl w:val="1"/>
          <w:numId w:val="6"/>
        </w:numPr>
        <w:spacing w:after="0" w:line="240" w:lineRule="auto"/>
        <w:jc w:val="both"/>
        <w:rPr>
          <w:rFonts w:cstheme="minorHAnsi"/>
          <w:lang w:val="hr-HR"/>
        </w:rPr>
      </w:pPr>
      <w:r w:rsidRPr="001420F8">
        <w:rPr>
          <w:rFonts w:cstheme="minorHAnsi"/>
          <w:lang w:val="hr-HR"/>
        </w:rPr>
        <w:t>189,3 milijuna eura kapitalni projekti iz nadležnosti Ministarstva zdravstva, Ministarstva znanosti i obrazovanja, Ministarstva pravosuđa, uprave i digitalne transformacije i Ministarstva prostornoga uređenja, graditeljstva i državne imovine uslijed promjene dinamike provedbe</w:t>
      </w:r>
    </w:p>
    <w:p w:rsidR="001420F8" w:rsidRPr="001420F8" w:rsidRDefault="001420F8" w:rsidP="001420F8">
      <w:pPr>
        <w:pStyle w:val="ListParagraph"/>
        <w:numPr>
          <w:ilvl w:val="1"/>
          <w:numId w:val="6"/>
        </w:numPr>
        <w:spacing w:after="0" w:line="240" w:lineRule="auto"/>
        <w:jc w:val="both"/>
        <w:rPr>
          <w:rFonts w:cstheme="minorHAnsi"/>
          <w:lang w:val="hr-HR"/>
        </w:rPr>
      </w:pPr>
      <w:r w:rsidRPr="001420F8">
        <w:rPr>
          <w:rFonts w:cstheme="minorHAnsi"/>
          <w:lang w:val="hr-HR"/>
        </w:rPr>
        <w:t>156,2 milijuna eura sufinanciranje te nacionalno učešće za projekte financirane u okviru programa Konkurentnost i kohezija i Učinkoviti ljudski potencijali dijelom zbog dinamike provedbe, a dijelom zbog preusmjeravanja financiranja provedbe na EU bespovratna sredstva</w:t>
      </w:r>
    </w:p>
    <w:p w:rsidR="001420F8" w:rsidRPr="001420F8" w:rsidRDefault="001420F8" w:rsidP="001420F8">
      <w:pPr>
        <w:pStyle w:val="ListParagraph"/>
        <w:numPr>
          <w:ilvl w:val="1"/>
          <w:numId w:val="6"/>
        </w:numPr>
        <w:spacing w:after="0" w:line="240" w:lineRule="auto"/>
        <w:jc w:val="both"/>
        <w:rPr>
          <w:rFonts w:cstheme="minorHAnsi"/>
          <w:lang w:val="hr-HR"/>
        </w:rPr>
      </w:pPr>
      <w:r w:rsidRPr="001420F8">
        <w:rPr>
          <w:rFonts w:cstheme="minorHAnsi"/>
          <w:lang w:val="hr-HR"/>
        </w:rPr>
        <w:t xml:space="preserve">143,3 </w:t>
      </w:r>
      <w:proofErr w:type="spellStart"/>
      <w:r w:rsidRPr="001420F8">
        <w:rPr>
          <w:rFonts w:cstheme="minorHAnsi"/>
          <w:lang w:val="hr-HR"/>
        </w:rPr>
        <w:t>vodnokomunalni</w:t>
      </w:r>
      <w:proofErr w:type="spellEnd"/>
      <w:r w:rsidRPr="001420F8">
        <w:rPr>
          <w:rFonts w:cstheme="minorHAnsi"/>
          <w:lang w:val="hr-HR"/>
        </w:rPr>
        <w:t xml:space="preserve"> projekti dijelom zbog dinamike provedbe, a dijelom zbog preusmjeravanja financiranja provedbe na EU bespovratna sredstva </w:t>
      </w:r>
    </w:p>
    <w:p w:rsidR="001420F8" w:rsidRPr="001420F8" w:rsidRDefault="001420F8" w:rsidP="001420F8">
      <w:pPr>
        <w:pStyle w:val="ListParagraph"/>
        <w:numPr>
          <w:ilvl w:val="1"/>
          <w:numId w:val="6"/>
        </w:numPr>
        <w:spacing w:after="0" w:line="240" w:lineRule="auto"/>
        <w:jc w:val="both"/>
        <w:rPr>
          <w:rFonts w:cstheme="minorHAnsi"/>
          <w:lang w:val="hr-HR"/>
        </w:rPr>
      </w:pPr>
      <w:r w:rsidRPr="001420F8">
        <w:rPr>
          <w:rFonts w:cstheme="minorHAnsi"/>
          <w:lang w:val="hr-HR"/>
        </w:rPr>
        <w:t xml:space="preserve">101,5 milijuna eura </w:t>
      </w:r>
      <w:r w:rsidR="00654192">
        <w:rPr>
          <w:rFonts w:cstheme="minorHAnsi"/>
          <w:lang w:val="hr-HR"/>
        </w:rPr>
        <w:t>s</w:t>
      </w:r>
      <w:r w:rsidRPr="001420F8">
        <w:rPr>
          <w:rFonts w:cstheme="minorHAnsi"/>
          <w:lang w:val="hr-HR"/>
        </w:rPr>
        <w:t xml:space="preserve"> pozicija Ministarstva financija za nastavak financiranja provedbe projekata započetih iz EU sredstava u skladu s očekivanom dinamikom provedbe projekata</w:t>
      </w:r>
    </w:p>
    <w:p w:rsidR="00CD7F3B" w:rsidRPr="00CD7F3B" w:rsidRDefault="00CD7F3B" w:rsidP="00CD7F3B">
      <w:pPr>
        <w:pStyle w:val="ListParagraph"/>
        <w:numPr>
          <w:ilvl w:val="0"/>
          <w:numId w:val="6"/>
        </w:numPr>
        <w:spacing w:after="0" w:line="240" w:lineRule="auto"/>
        <w:jc w:val="both"/>
        <w:rPr>
          <w:rFonts w:cstheme="minorHAnsi"/>
          <w:lang w:val="hr-HR"/>
        </w:rPr>
      </w:pPr>
      <w:r w:rsidRPr="00CD7F3B">
        <w:rPr>
          <w:rFonts w:cstheme="minorHAnsi"/>
          <w:bCs/>
          <w:lang w:val="hr-HR"/>
        </w:rPr>
        <w:t>sanaciju štete od potresa u ukupnom iznosu od 289,5 milijuna eura uslijed promjene dinamike provedbe projekata</w:t>
      </w:r>
    </w:p>
    <w:p w:rsidR="00CD7F3B" w:rsidRPr="00CD7F3B" w:rsidRDefault="00CD7F3B" w:rsidP="00CD7F3B">
      <w:pPr>
        <w:pStyle w:val="ListParagraph"/>
        <w:numPr>
          <w:ilvl w:val="0"/>
          <w:numId w:val="6"/>
        </w:numPr>
        <w:spacing w:after="0" w:line="240" w:lineRule="auto"/>
        <w:jc w:val="both"/>
        <w:rPr>
          <w:rFonts w:cstheme="minorHAnsi"/>
          <w:lang w:val="hr-HR"/>
        </w:rPr>
      </w:pPr>
      <w:r w:rsidRPr="00CD7F3B">
        <w:rPr>
          <w:rFonts w:cstheme="minorHAnsi"/>
          <w:bCs/>
          <w:lang w:val="hr-HR"/>
        </w:rPr>
        <w:t>projekte energetske održivosti (</w:t>
      </w:r>
      <w:r w:rsidRPr="00CD7F3B">
        <w:rPr>
          <w:rFonts w:cstheme="minorHAnsi"/>
          <w:lang w:val="hr-HR"/>
        </w:rPr>
        <w:t>izgradnja plinovoda, modernizacija i dogradnja elektroenergetskog sustava te ekološki prihvatljiviji oblici prometa bazirani na vodiku)</w:t>
      </w:r>
      <w:r w:rsidRPr="00CD7F3B">
        <w:rPr>
          <w:rFonts w:cstheme="minorHAnsi"/>
          <w:bCs/>
          <w:lang w:val="hr-HR"/>
        </w:rPr>
        <w:t xml:space="preserve"> i energetske obnove zgrada u iznosu od 170,6 milijuna eura uslijed usklađivanja sa dinamikom provedbe i zahtjevima krajnjih korisnika</w:t>
      </w:r>
    </w:p>
    <w:p w:rsidR="00CD7F3B" w:rsidRPr="00CD7F3B" w:rsidRDefault="00CD7F3B" w:rsidP="00CD7F3B">
      <w:pPr>
        <w:pStyle w:val="ListParagraph"/>
        <w:numPr>
          <w:ilvl w:val="0"/>
          <w:numId w:val="6"/>
        </w:numPr>
        <w:spacing w:after="0" w:line="240" w:lineRule="auto"/>
        <w:jc w:val="both"/>
        <w:rPr>
          <w:rFonts w:cstheme="minorHAnsi"/>
          <w:lang w:val="hr-HR"/>
        </w:rPr>
      </w:pPr>
      <w:r w:rsidRPr="00CD7F3B">
        <w:rPr>
          <w:rFonts w:cstheme="minorHAnsi"/>
          <w:lang w:val="hr-HR"/>
        </w:rPr>
        <w:t xml:space="preserve">opremanje i modernizaciju oružanih snaga u iznosu od 171,3 milijuna eura radi usklađivanja s dinamikom provedbe </w:t>
      </w:r>
    </w:p>
    <w:p w:rsidR="00CD7F3B" w:rsidRPr="00CD7F3B" w:rsidRDefault="00CD7F3B" w:rsidP="00CD7F3B">
      <w:pPr>
        <w:pStyle w:val="ListParagraph"/>
        <w:numPr>
          <w:ilvl w:val="0"/>
          <w:numId w:val="6"/>
        </w:numPr>
        <w:spacing w:after="0" w:line="240" w:lineRule="auto"/>
        <w:jc w:val="both"/>
        <w:rPr>
          <w:rFonts w:cstheme="minorHAnsi"/>
          <w:lang w:val="hr-HR"/>
        </w:rPr>
      </w:pPr>
      <w:r w:rsidRPr="00CD7F3B">
        <w:rPr>
          <w:rFonts w:cstheme="minorHAnsi"/>
          <w:lang w:val="hr-HR"/>
        </w:rPr>
        <w:t>podmirenje naknada za energente u iznosu od 107,5 milijuna eura uslijed stabilizacije na energetskom tržištu</w:t>
      </w:r>
    </w:p>
    <w:p w:rsidR="00CD7F3B" w:rsidRPr="00CD7F3B" w:rsidRDefault="00CD7F3B" w:rsidP="00CD7F3B">
      <w:pPr>
        <w:pStyle w:val="ListParagraph"/>
        <w:numPr>
          <w:ilvl w:val="0"/>
          <w:numId w:val="6"/>
        </w:numPr>
        <w:spacing w:after="0" w:line="240" w:lineRule="auto"/>
        <w:jc w:val="both"/>
        <w:rPr>
          <w:rFonts w:cstheme="minorHAnsi"/>
          <w:lang w:val="hr-HR"/>
        </w:rPr>
      </w:pPr>
      <w:r w:rsidRPr="00CD7F3B">
        <w:rPr>
          <w:rFonts w:cstheme="minorHAnsi"/>
          <w:lang w:val="hr-HR"/>
        </w:rPr>
        <w:t xml:space="preserve">projekte </w:t>
      </w:r>
      <w:proofErr w:type="spellStart"/>
      <w:r w:rsidRPr="00CD7F3B">
        <w:rPr>
          <w:rFonts w:cstheme="minorHAnsi"/>
          <w:lang w:val="hr-HR"/>
        </w:rPr>
        <w:t>jednosmjenske</w:t>
      </w:r>
      <w:proofErr w:type="spellEnd"/>
      <w:r w:rsidRPr="00CD7F3B">
        <w:rPr>
          <w:rFonts w:cstheme="minorHAnsi"/>
          <w:lang w:val="hr-HR"/>
        </w:rPr>
        <w:t xml:space="preserve"> nastave, razminiranja, služenja civilnog vojnog roka te zdravstvenog turizma u iznosu od 72,9 milijuna eura uslijed preusmjeravanja financiranja na EU bespovratna sredstva </w:t>
      </w:r>
    </w:p>
    <w:p w:rsidR="00CD7F3B" w:rsidRPr="00CD7F3B" w:rsidRDefault="00CD7F3B" w:rsidP="00CD7F3B">
      <w:pPr>
        <w:pStyle w:val="ListParagraph"/>
        <w:numPr>
          <w:ilvl w:val="0"/>
          <w:numId w:val="6"/>
        </w:numPr>
        <w:spacing w:after="0" w:line="240" w:lineRule="auto"/>
        <w:jc w:val="both"/>
        <w:rPr>
          <w:rFonts w:cstheme="minorHAnsi"/>
          <w:lang w:val="hr-HR"/>
        </w:rPr>
      </w:pPr>
      <w:r w:rsidRPr="00CD7F3B">
        <w:rPr>
          <w:rFonts w:cstheme="minorHAnsi"/>
          <w:lang w:val="hr-HR"/>
        </w:rPr>
        <w:t>elektronički sustav naplate cestarine u iznosu od 25,0 milijuna eura uslijed dinamike provedbe</w:t>
      </w:r>
    </w:p>
    <w:p w:rsidR="00CD7F3B" w:rsidRPr="00CD7F3B" w:rsidRDefault="00CD7F3B" w:rsidP="00CD7F3B">
      <w:pPr>
        <w:pStyle w:val="ListParagraph"/>
        <w:numPr>
          <w:ilvl w:val="0"/>
          <w:numId w:val="6"/>
        </w:numPr>
        <w:spacing w:after="0" w:line="240" w:lineRule="auto"/>
        <w:jc w:val="both"/>
        <w:rPr>
          <w:rFonts w:cstheme="minorHAnsi"/>
          <w:lang w:val="hr-HR"/>
        </w:rPr>
      </w:pPr>
      <w:r w:rsidRPr="00CD7F3B">
        <w:rPr>
          <w:rFonts w:cstheme="minorHAnsi"/>
          <w:lang w:val="hr-HR"/>
        </w:rPr>
        <w:t>alimentacijskom fondu u iznosu od 19,9 milijuna eura sukladno zaprimljenim zahtjevima</w:t>
      </w:r>
    </w:p>
    <w:p w:rsidR="00AC1D21" w:rsidRDefault="00AC1D21" w:rsidP="00AC1D21">
      <w:pPr>
        <w:shd w:val="clear" w:color="auto" w:fill="FFFFFF"/>
        <w:spacing w:after="0"/>
        <w:jc w:val="both"/>
        <w:rPr>
          <w:rFonts w:cstheme="minorHAnsi"/>
          <w:highlight w:val="yellow"/>
          <w:lang w:val="hr-HR"/>
        </w:rPr>
      </w:pPr>
    </w:p>
    <w:p w:rsidR="001420F8" w:rsidRPr="000E4D93" w:rsidRDefault="001420F8" w:rsidP="00AC1D21">
      <w:pPr>
        <w:shd w:val="clear" w:color="auto" w:fill="FFFFFF"/>
        <w:spacing w:after="0"/>
        <w:jc w:val="both"/>
        <w:rPr>
          <w:rFonts w:cstheme="minorHAnsi"/>
          <w:highlight w:val="yellow"/>
          <w:lang w:val="hr-HR"/>
        </w:rPr>
      </w:pPr>
    </w:p>
    <w:p w:rsidR="00CD7F3B" w:rsidRPr="00CD7F3B" w:rsidRDefault="00CD7F3B" w:rsidP="00CD7F3B">
      <w:pPr>
        <w:shd w:val="clear" w:color="auto" w:fill="FFFFFF"/>
        <w:spacing w:after="0"/>
        <w:jc w:val="both"/>
        <w:rPr>
          <w:rFonts w:cstheme="minorHAnsi"/>
          <w:lang w:val="hr-HR"/>
        </w:rPr>
      </w:pPr>
      <w:r w:rsidRPr="00CD7F3B">
        <w:rPr>
          <w:rFonts w:cstheme="minorHAnsi"/>
          <w:lang w:val="hr-HR"/>
        </w:rPr>
        <w:t>Od ukupno ostvarenih ušteda, odnosno smanjenja rashoda na izvorima financiranja opći prihodi i primici, doprinosi i namjenski primici iznos od 286,4 milijuna eura preusmjeren je na EU bespovratna sredstava financiranja  i to:</w:t>
      </w:r>
    </w:p>
    <w:p w:rsidR="00CD7F3B" w:rsidRPr="00CD7F3B" w:rsidRDefault="00CD7F3B" w:rsidP="00CD7F3B">
      <w:pPr>
        <w:numPr>
          <w:ilvl w:val="0"/>
          <w:numId w:val="6"/>
        </w:numPr>
        <w:shd w:val="clear" w:color="auto" w:fill="FFFFFF"/>
        <w:spacing w:after="0"/>
        <w:jc w:val="both"/>
        <w:rPr>
          <w:rFonts w:cstheme="minorHAnsi"/>
          <w:lang w:val="hr-HR"/>
        </w:rPr>
      </w:pPr>
      <w:r w:rsidRPr="00CD7F3B">
        <w:rPr>
          <w:rFonts w:cstheme="minorHAnsi"/>
          <w:lang w:val="hr-HR"/>
        </w:rPr>
        <w:t xml:space="preserve">213,5 milijuna eura vezano za sredstva nacionalnog učešća i sufinanciranja projekata u okviru programa Konkurentnost i kohezija i Učinkoviti ljudski potencijali te </w:t>
      </w:r>
      <w:proofErr w:type="spellStart"/>
      <w:r w:rsidRPr="00CD7F3B">
        <w:rPr>
          <w:rFonts w:cstheme="minorHAnsi"/>
          <w:lang w:val="hr-HR"/>
        </w:rPr>
        <w:t>vodnokomunalnih</w:t>
      </w:r>
      <w:proofErr w:type="spellEnd"/>
      <w:r w:rsidRPr="00CD7F3B">
        <w:rPr>
          <w:rFonts w:cstheme="minorHAnsi"/>
          <w:lang w:val="hr-HR"/>
        </w:rPr>
        <w:t xml:space="preserve"> projekata</w:t>
      </w:r>
    </w:p>
    <w:p w:rsidR="00CD7F3B" w:rsidRPr="00CD7F3B" w:rsidRDefault="00CD7F3B" w:rsidP="00CD7F3B">
      <w:pPr>
        <w:numPr>
          <w:ilvl w:val="0"/>
          <w:numId w:val="6"/>
        </w:numPr>
        <w:shd w:val="clear" w:color="auto" w:fill="FFFFFF"/>
        <w:spacing w:after="0"/>
        <w:jc w:val="both"/>
        <w:rPr>
          <w:rFonts w:cstheme="minorHAnsi"/>
          <w:lang w:val="hr-HR"/>
        </w:rPr>
      </w:pPr>
      <w:r w:rsidRPr="00CD7F3B">
        <w:rPr>
          <w:rFonts w:cstheme="minorHAnsi"/>
          <w:lang w:val="hr-HR"/>
        </w:rPr>
        <w:t xml:space="preserve">72,9 milijuna eura vezano za projekte </w:t>
      </w:r>
      <w:proofErr w:type="spellStart"/>
      <w:r w:rsidRPr="00CD7F3B">
        <w:rPr>
          <w:rFonts w:cstheme="minorHAnsi"/>
          <w:lang w:val="hr-HR"/>
        </w:rPr>
        <w:t>jednosmjenske</w:t>
      </w:r>
      <w:proofErr w:type="spellEnd"/>
      <w:r w:rsidRPr="00CD7F3B">
        <w:rPr>
          <w:rFonts w:cstheme="minorHAnsi"/>
          <w:lang w:val="hr-HR"/>
        </w:rPr>
        <w:t xml:space="preserve"> nastave, razminiranja, služenja civilnog vojnog roka te zdravstvenog turizma.</w:t>
      </w:r>
    </w:p>
    <w:p w:rsidR="00AC1D21" w:rsidRPr="000E4D93" w:rsidRDefault="00AC1D21" w:rsidP="00AC1D21">
      <w:pPr>
        <w:shd w:val="clear" w:color="auto" w:fill="FFFFFF"/>
        <w:spacing w:after="0"/>
        <w:jc w:val="both"/>
        <w:rPr>
          <w:rFonts w:cstheme="minorHAnsi"/>
          <w:b/>
          <w:i/>
          <w:highlight w:val="yellow"/>
          <w:lang w:val="hr-HR"/>
        </w:rPr>
      </w:pPr>
    </w:p>
    <w:p w:rsidR="00813F78" w:rsidRDefault="00813F78" w:rsidP="00813F78">
      <w:pPr>
        <w:shd w:val="clear" w:color="auto" w:fill="FFFFFF"/>
        <w:spacing w:after="0"/>
        <w:jc w:val="both"/>
        <w:rPr>
          <w:rFonts w:cstheme="minorHAnsi"/>
          <w:lang w:val="hr-HR"/>
        </w:rPr>
      </w:pPr>
      <w:r w:rsidRPr="00813F78">
        <w:rPr>
          <w:rFonts w:cstheme="minorHAnsi"/>
          <w:lang w:val="hr-HR"/>
        </w:rPr>
        <w:t xml:space="preserve">Rashodi koji se financiraju iz EU i ostalih izvora ovim se Izmjenama i dopunama povećavaju za 231,4 milijuna eura. U okviru ovih rashoda, rashodi koji se financiraju iz EU izvora smanjuju se za 100,0 milijuna eura zbog usklađenja s dinamikom provedbe projekata krajnjih korisnika dok se rashodi koji se financiraju iz ostalih izvora povećavaju za 331,4 milijuna eura najvećim dijelom kao rezultat osiguranja dodatnih sredstava za rast osnovice za obračun plaća u sektoru zdravstva te dodatnih sredstava za ustanove u zdravstvu financirane iz prihoda temeljem ugovornog odnosa </w:t>
      </w:r>
      <w:r w:rsidR="007A0257">
        <w:rPr>
          <w:rFonts w:cstheme="minorHAnsi"/>
          <w:lang w:val="hr-HR"/>
        </w:rPr>
        <w:t xml:space="preserve">s </w:t>
      </w:r>
      <w:r w:rsidRPr="00813F78">
        <w:rPr>
          <w:rFonts w:cstheme="minorHAnsi"/>
          <w:lang w:val="hr-HR"/>
        </w:rPr>
        <w:t>Hrvatskim zavodom za zdravstveno osiguranje.</w:t>
      </w:r>
    </w:p>
    <w:p w:rsidR="0054100C" w:rsidRPr="00813F78" w:rsidRDefault="00F03484" w:rsidP="00813F78">
      <w:pPr>
        <w:shd w:val="clear" w:color="auto" w:fill="FFFFFF"/>
        <w:spacing w:after="0"/>
        <w:jc w:val="both"/>
        <w:rPr>
          <w:rFonts w:cstheme="minorHAnsi"/>
          <w:lang w:val="hr-HR"/>
        </w:rPr>
      </w:pPr>
      <w:proofErr w:type="spellStart"/>
      <w:r w:rsidRPr="00813F78">
        <w:rPr>
          <w:rFonts w:cstheme="minorHAnsi"/>
          <w:i/>
        </w:rPr>
        <w:lastRenderedPageBreak/>
        <w:t>Tablica</w:t>
      </w:r>
      <w:proofErr w:type="spellEnd"/>
      <w:r w:rsidRPr="00813F78">
        <w:rPr>
          <w:rFonts w:cstheme="minorHAnsi"/>
          <w:i/>
        </w:rPr>
        <w:t xml:space="preserve"> 3</w:t>
      </w:r>
      <w:r w:rsidR="0054100C" w:rsidRPr="00813F78">
        <w:rPr>
          <w:rFonts w:cstheme="minorHAnsi"/>
          <w:i/>
        </w:rPr>
        <w:t xml:space="preserve">. </w:t>
      </w:r>
      <w:proofErr w:type="spellStart"/>
      <w:r w:rsidR="0054100C" w:rsidRPr="00813F78">
        <w:rPr>
          <w:rFonts w:cstheme="minorHAnsi"/>
          <w:i/>
        </w:rPr>
        <w:t>Ukupni</w:t>
      </w:r>
      <w:proofErr w:type="spellEnd"/>
      <w:r w:rsidR="0054100C" w:rsidRPr="00813F78">
        <w:rPr>
          <w:rFonts w:cstheme="minorHAnsi"/>
          <w:i/>
        </w:rPr>
        <w:t xml:space="preserve"> </w:t>
      </w:r>
      <w:proofErr w:type="spellStart"/>
      <w:r w:rsidR="0054100C" w:rsidRPr="00813F78">
        <w:rPr>
          <w:rFonts w:cstheme="minorHAnsi"/>
          <w:i/>
        </w:rPr>
        <w:t>rashodi</w:t>
      </w:r>
      <w:proofErr w:type="spellEnd"/>
      <w:r w:rsidR="0054100C" w:rsidRPr="00813F78">
        <w:rPr>
          <w:rFonts w:cstheme="minorHAnsi"/>
          <w:i/>
        </w:rPr>
        <w:t xml:space="preserve"> </w:t>
      </w:r>
      <w:proofErr w:type="spellStart"/>
      <w:r w:rsidR="0054100C" w:rsidRPr="00813F78">
        <w:rPr>
          <w:rFonts w:cstheme="minorHAnsi"/>
          <w:i/>
        </w:rPr>
        <w:t>državnog</w:t>
      </w:r>
      <w:proofErr w:type="spellEnd"/>
      <w:r w:rsidR="0054100C" w:rsidRPr="00813F78">
        <w:rPr>
          <w:rFonts w:cstheme="minorHAnsi"/>
          <w:i/>
        </w:rPr>
        <w:t xml:space="preserve"> </w:t>
      </w:r>
      <w:proofErr w:type="spellStart"/>
      <w:r w:rsidR="0054100C" w:rsidRPr="00813F78">
        <w:rPr>
          <w:rFonts w:cstheme="minorHAnsi"/>
          <w:i/>
        </w:rPr>
        <w:t>proračuna</w:t>
      </w:r>
      <w:proofErr w:type="spellEnd"/>
      <w:r w:rsidR="0054100C" w:rsidRPr="00813F78">
        <w:rPr>
          <w:rFonts w:cstheme="minorHAnsi"/>
          <w:i/>
        </w:rPr>
        <w:t xml:space="preserve"> </w:t>
      </w:r>
      <w:proofErr w:type="spellStart"/>
      <w:r w:rsidR="0054100C" w:rsidRPr="00813F78">
        <w:rPr>
          <w:rFonts w:cstheme="minorHAnsi"/>
          <w:i/>
        </w:rPr>
        <w:t>po</w:t>
      </w:r>
      <w:proofErr w:type="spellEnd"/>
      <w:r w:rsidR="0054100C" w:rsidRPr="00813F78">
        <w:rPr>
          <w:rFonts w:cstheme="minorHAnsi"/>
          <w:i/>
        </w:rPr>
        <w:t xml:space="preserve"> </w:t>
      </w:r>
      <w:proofErr w:type="spellStart"/>
      <w:r w:rsidR="0054100C" w:rsidRPr="00813F78">
        <w:rPr>
          <w:rFonts w:cstheme="minorHAnsi"/>
          <w:i/>
        </w:rPr>
        <w:t>ekonomskoj</w:t>
      </w:r>
      <w:proofErr w:type="spellEnd"/>
      <w:r w:rsidR="0054100C" w:rsidRPr="00813F78">
        <w:rPr>
          <w:rFonts w:cstheme="minorHAnsi"/>
          <w:i/>
        </w:rPr>
        <w:t xml:space="preserve"> </w:t>
      </w:r>
      <w:proofErr w:type="spellStart"/>
      <w:r w:rsidR="0054100C" w:rsidRPr="00813F78">
        <w:rPr>
          <w:rFonts w:cstheme="minorHAnsi"/>
          <w:i/>
        </w:rPr>
        <w:t>klasifikaciji</w:t>
      </w:r>
      <w:proofErr w:type="spellEnd"/>
    </w:p>
    <w:p w:rsidR="003459A2" w:rsidRPr="00813F78" w:rsidRDefault="00813F78" w:rsidP="00AC1D21">
      <w:pPr>
        <w:spacing w:after="0"/>
        <w:rPr>
          <w:lang w:val="hr-HR"/>
        </w:rPr>
      </w:pPr>
      <w:r w:rsidRPr="00813F78">
        <w:rPr>
          <w:noProof/>
          <w:lang w:val="hr-HR" w:eastAsia="hr-HR"/>
        </w:rPr>
        <w:drawing>
          <wp:inline distT="0" distB="0" distL="0" distR="0" wp14:anchorId="003CF03E" wp14:editId="3CD93B56">
            <wp:extent cx="6268191" cy="2706624"/>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2629" cy="2712859"/>
                    </a:xfrm>
                    <a:prstGeom prst="rect">
                      <a:avLst/>
                    </a:prstGeom>
                    <a:noFill/>
                    <a:ln>
                      <a:noFill/>
                    </a:ln>
                  </pic:spPr>
                </pic:pic>
              </a:graphicData>
            </a:graphic>
          </wp:inline>
        </w:drawing>
      </w:r>
    </w:p>
    <w:p w:rsidR="0054100C" w:rsidRPr="00813F78" w:rsidRDefault="0054100C" w:rsidP="0054100C">
      <w:pPr>
        <w:rPr>
          <w:rFonts w:cstheme="minorHAnsi"/>
          <w:i/>
          <w:lang w:val="hr-HR"/>
        </w:rPr>
      </w:pPr>
      <w:r w:rsidRPr="00813F78">
        <w:rPr>
          <w:rFonts w:cstheme="minorHAnsi"/>
          <w:i/>
          <w:lang w:val="hr-HR"/>
        </w:rPr>
        <w:t>Izvor: Ministarstvo financija</w:t>
      </w:r>
    </w:p>
    <w:p w:rsidR="00527CC0" w:rsidRPr="000E4D93" w:rsidRDefault="00527CC0" w:rsidP="0054100C">
      <w:pPr>
        <w:rPr>
          <w:rFonts w:cstheme="minorHAnsi"/>
          <w:noProof/>
          <w:highlight w:val="yellow"/>
          <w:lang w:val="hr-HR" w:eastAsia="hr-HR"/>
        </w:rPr>
      </w:pPr>
    </w:p>
    <w:p w:rsidR="005874C7" w:rsidRPr="00913FCC" w:rsidRDefault="005874C7" w:rsidP="005874C7">
      <w:pPr>
        <w:pStyle w:val="Heading2"/>
        <w:numPr>
          <w:ilvl w:val="1"/>
          <w:numId w:val="3"/>
        </w:numPr>
        <w:spacing w:after="240"/>
        <w:ind w:left="993" w:hanging="567"/>
        <w:rPr>
          <w:rFonts w:asciiTheme="minorHAnsi" w:hAnsiTheme="minorHAnsi" w:cstheme="minorHAnsi"/>
          <w:sz w:val="22"/>
          <w:szCs w:val="22"/>
          <w:lang w:val="hr-HR"/>
        </w:rPr>
      </w:pPr>
      <w:bookmarkStart w:id="11" w:name="_Toc210305052"/>
      <w:r w:rsidRPr="00913FCC">
        <w:rPr>
          <w:rFonts w:asciiTheme="minorHAnsi" w:hAnsiTheme="minorHAnsi" w:cstheme="minorHAnsi"/>
          <w:sz w:val="22"/>
          <w:szCs w:val="22"/>
          <w:lang w:val="hr-HR"/>
        </w:rPr>
        <w:t>Obrazloženje rashoda po ekonomskoj klasifikaciji</w:t>
      </w:r>
      <w:bookmarkEnd w:id="11"/>
    </w:p>
    <w:p w:rsidR="0054100C" w:rsidRPr="000E4D93" w:rsidRDefault="0054100C" w:rsidP="0054100C">
      <w:pPr>
        <w:pStyle w:val="ListParagraph"/>
        <w:spacing w:after="0" w:line="240" w:lineRule="auto"/>
        <w:ind w:left="360"/>
        <w:jc w:val="both"/>
        <w:rPr>
          <w:rFonts w:cstheme="minorHAnsi"/>
          <w:b/>
          <w:highlight w:val="yellow"/>
          <w:lang w:val="hr-HR"/>
        </w:rPr>
      </w:pPr>
    </w:p>
    <w:p w:rsidR="00135C45" w:rsidRPr="00913FCC" w:rsidRDefault="00135C45" w:rsidP="00135C45">
      <w:pPr>
        <w:spacing w:after="0"/>
        <w:jc w:val="both"/>
        <w:rPr>
          <w:rFonts w:cstheme="minorHAnsi"/>
          <w:b/>
          <w:lang w:val="hr-HR"/>
        </w:rPr>
      </w:pPr>
      <w:r w:rsidRPr="00913FCC">
        <w:rPr>
          <w:rFonts w:cstheme="minorHAnsi"/>
          <w:b/>
          <w:lang w:val="hr-HR"/>
        </w:rPr>
        <w:t>Rashodi poslovanja</w:t>
      </w:r>
    </w:p>
    <w:p w:rsidR="00913FCC" w:rsidRPr="00913FCC" w:rsidRDefault="00913FCC" w:rsidP="00913FCC">
      <w:pPr>
        <w:spacing w:after="0"/>
        <w:jc w:val="both"/>
        <w:rPr>
          <w:rFonts w:cstheme="minorHAnsi"/>
          <w:lang w:val="hr-HR"/>
        </w:rPr>
      </w:pPr>
      <w:r w:rsidRPr="00913FCC">
        <w:rPr>
          <w:rFonts w:cstheme="minorHAnsi"/>
          <w:lang w:val="hr-HR"/>
        </w:rPr>
        <w:t>Ukupni rashodi poslovanja iznose 34,5 milijardi eura i povećavaju se za 392,1 milijuna eura od čega rashodi financirani iz općih prihoda i primitaka, doprinosa i namjenskih primitaka za 142,0 milijun eura, a oni financirani iz EU sredstava i ostalih izvora za 250,0 milijuna eura.</w:t>
      </w:r>
    </w:p>
    <w:p w:rsidR="00135C45" w:rsidRPr="000E4D93" w:rsidRDefault="00135C45" w:rsidP="00135C45">
      <w:pPr>
        <w:spacing w:after="0"/>
        <w:jc w:val="both"/>
        <w:rPr>
          <w:rFonts w:cstheme="minorHAnsi"/>
          <w:highlight w:val="yellow"/>
          <w:lang w:val="hr-HR"/>
        </w:rPr>
      </w:pPr>
    </w:p>
    <w:p w:rsidR="00135C45" w:rsidRPr="00913FCC" w:rsidRDefault="00135C45" w:rsidP="00135C45">
      <w:pPr>
        <w:spacing w:after="0"/>
        <w:jc w:val="both"/>
        <w:rPr>
          <w:rFonts w:cstheme="minorHAnsi"/>
          <w:b/>
          <w:i/>
          <w:lang w:val="hr-HR"/>
        </w:rPr>
      </w:pPr>
      <w:r w:rsidRPr="00913FCC">
        <w:rPr>
          <w:rFonts w:cstheme="minorHAnsi"/>
          <w:b/>
          <w:i/>
          <w:lang w:val="hr-HR"/>
        </w:rPr>
        <w:t>Rashodi za zaposlene</w:t>
      </w:r>
    </w:p>
    <w:p w:rsidR="00913FCC" w:rsidRPr="00913FCC" w:rsidRDefault="00913FCC" w:rsidP="00913FCC">
      <w:pPr>
        <w:spacing w:after="0"/>
        <w:jc w:val="both"/>
        <w:rPr>
          <w:rFonts w:cstheme="minorHAnsi"/>
          <w:lang w:val="hr-HR"/>
        </w:rPr>
      </w:pPr>
      <w:r w:rsidRPr="00913FCC">
        <w:rPr>
          <w:rFonts w:cstheme="minorHAnsi"/>
          <w:lang w:val="hr-HR"/>
        </w:rPr>
        <w:t xml:space="preserve">Ukupni rashodi za zaposlene ovim su Izmjenama i dopunama planirani na razini od 6,4 milijarde eura što je povećanje za 254,5 milijuna eura u odnosu na tekući plan. Od navedenog povećanja ovi rashodi financirani iz općih prihoda i primitaka, doprinosa i namjenskih primitaka povećavaju se za 153,8 milijuna eura u odnosu na tekući plan 2025. godine i iznose ukupno 4,1 milijardu eura. Rashodi za zaposlene financirani iz EU sredstava i ostalih izvora planiraju se na razini od 2,3 milijarde eura i bilježe rast od 100,7 milijuna eura u odnosu na tekući plan 2025. godine. </w:t>
      </w:r>
    </w:p>
    <w:p w:rsidR="00913FCC" w:rsidRPr="00913FCC" w:rsidRDefault="00913FCC" w:rsidP="00913FCC">
      <w:pPr>
        <w:spacing w:after="0"/>
        <w:jc w:val="both"/>
        <w:rPr>
          <w:rFonts w:cstheme="minorHAnsi"/>
          <w:lang w:val="hr-HR"/>
        </w:rPr>
      </w:pPr>
    </w:p>
    <w:p w:rsidR="00913FCC" w:rsidRPr="00913FCC" w:rsidRDefault="00913FCC" w:rsidP="00913FCC">
      <w:pPr>
        <w:spacing w:after="0"/>
        <w:jc w:val="both"/>
        <w:rPr>
          <w:rFonts w:cstheme="minorHAnsi"/>
          <w:lang w:val="hr-HR"/>
        </w:rPr>
      </w:pPr>
      <w:r w:rsidRPr="00913FCC">
        <w:rPr>
          <w:rFonts w:cstheme="minorHAnsi"/>
          <w:lang w:val="hr-HR"/>
        </w:rPr>
        <w:t xml:space="preserve">Važno je istaknuti da ova skupina rashoda ne uključuje rashode za zaposlene u osnovnom i srednjem školstvu koji su iskazani u okviru pomoći danih u inozemstvo i unutar općeg proračuna. </w:t>
      </w:r>
    </w:p>
    <w:p w:rsidR="00913FCC" w:rsidRPr="00913FCC" w:rsidRDefault="00913FCC" w:rsidP="00913FCC">
      <w:pPr>
        <w:spacing w:after="0"/>
        <w:jc w:val="both"/>
        <w:rPr>
          <w:rFonts w:cstheme="minorHAnsi"/>
          <w:lang w:val="hr-HR"/>
        </w:rPr>
      </w:pPr>
    </w:p>
    <w:p w:rsidR="00913FCC" w:rsidRPr="00913FCC" w:rsidRDefault="00913FCC" w:rsidP="00913FCC">
      <w:pPr>
        <w:spacing w:after="0"/>
        <w:jc w:val="both"/>
        <w:rPr>
          <w:rFonts w:cstheme="minorHAnsi"/>
          <w:lang w:val="hr-HR"/>
        </w:rPr>
      </w:pPr>
      <w:r w:rsidRPr="00913FCC">
        <w:rPr>
          <w:rFonts w:cstheme="minorHAnsi"/>
          <w:lang w:val="hr-HR"/>
        </w:rPr>
        <w:t xml:space="preserve">Navedeno povećanje rashoda za zaposlene prvenstveno je rezultat osiguranja sredstava za ugovorena povećanja osnovice za obračun plaće u državnim i javnim službama. Naime, u prosincu 2024. godine donesene su Odluke o visini osnovice za obračun plaće u državnim i javnim službama kojima se osnovica za izračun plaće od 1. veljače 2025. povećava </w:t>
      </w:r>
      <w:r w:rsidR="002E35C7">
        <w:rPr>
          <w:rFonts w:cstheme="minorHAnsi"/>
          <w:lang w:val="hr-HR"/>
        </w:rPr>
        <w:t>s</w:t>
      </w:r>
      <w:r w:rsidRPr="00913FCC">
        <w:rPr>
          <w:rFonts w:cstheme="minorHAnsi"/>
          <w:lang w:val="hr-HR"/>
        </w:rPr>
        <w:t xml:space="preserve"> 947,18 eura na 975,60 eura, a od 1. rujna 2025. na 1.004,87 eura. </w:t>
      </w:r>
    </w:p>
    <w:p w:rsidR="00913FCC" w:rsidRDefault="00913FCC" w:rsidP="00135C45">
      <w:pPr>
        <w:spacing w:after="0"/>
        <w:jc w:val="both"/>
        <w:rPr>
          <w:rFonts w:cstheme="minorHAnsi"/>
          <w:b/>
          <w:i/>
          <w:highlight w:val="yellow"/>
          <w:lang w:val="hr-HR"/>
        </w:rPr>
      </w:pPr>
    </w:p>
    <w:p w:rsidR="00913FCC" w:rsidRDefault="00913FCC" w:rsidP="00135C45">
      <w:pPr>
        <w:spacing w:after="0"/>
        <w:jc w:val="both"/>
        <w:rPr>
          <w:rFonts w:cstheme="minorHAnsi"/>
          <w:b/>
          <w:i/>
          <w:highlight w:val="yellow"/>
          <w:lang w:val="hr-HR"/>
        </w:rPr>
      </w:pPr>
    </w:p>
    <w:p w:rsidR="00913FCC" w:rsidRDefault="00913FCC" w:rsidP="00135C45">
      <w:pPr>
        <w:spacing w:after="0"/>
        <w:jc w:val="both"/>
        <w:rPr>
          <w:rFonts w:cstheme="minorHAnsi"/>
          <w:b/>
          <w:i/>
          <w:highlight w:val="yellow"/>
          <w:lang w:val="hr-HR"/>
        </w:rPr>
      </w:pPr>
    </w:p>
    <w:p w:rsidR="00135C45" w:rsidRPr="00913FCC" w:rsidRDefault="00135C45" w:rsidP="00135C45">
      <w:pPr>
        <w:spacing w:after="0"/>
        <w:jc w:val="both"/>
        <w:rPr>
          <w:rFonts w:cstheme="minorHAnsi"/>
          <w:b/>
          <w:i/>
          <w:lang w:val="hr-HR"/>
        </w:rPr>
      </w:pPr>
      <w:r w:rsidRPr="00913FCC">
        <w:rPr>
          <w:rFonts w:cstheme="minorHAnsi"/>
          <w:b/>
          <w:i/>
          <w:lang w:val="hr-HR"/>
        </w:rPr>
        <w:lastRenderedPageBreak/>
        <w:t>Materijalni rashodi</w:t>
      </w:r>
    </w:p>
    <w:p w:rsidR="00913FCC" w:rsidRPr="00913FCC" w:rsidRDefault="00913FCC" w:rsidP="00913FCC">
      <w:pPr>
        <w:spacing w:after="0"/>
        <w:jc w:val="both"/>
        <w:rPr>
          <w:rFonts w:cstheme="minorHAnsi"/>
          <w:lang w:val="hr-HR"/>
        </w:rPr>
      </w:pPr>
      <w:r w:rsidRPr="00913FCC">
        <w:rPr>
          <w:rFonts w:cstheme="minorHAnsi"/>
          <w:lang w:val="hr-HR"/>
        </w:rPr>
        <w:t xml:space="preserve">Ukupni materijalni rashodi povećavaju se za 78,4 milijuna eura i iznose 3,8 milijardi eura. Navedeno povećanje rezultat je povećanja ovih rashoda financiranih iz EU i ostalih izvora i to prvenstveno zbog osiguranja dodatnih sredstava za ustanove u zdravstvu financirane iz prihoda temeljem ugovornog odnosa </w:t>
      </w:r>
      <w:r w:rsidR="001F426A">
        <w:rPr>
          <w:rFonts w:cstheme="minorHAnsi"/>
          <w:lang w:val="hr-HR"/>
        </w:rPr>
        <w:t>s</w:t>
      </w:r>
      <w:r w:rsidRPr="00913FCC">
        <w:rPr>
          <w:rFonts w:cstheme="minorHAnsi"/>
          <w:lang w:val="hr-HR"/>
        </w:rPr>
        <w:t xml:space="preserve"> Hrvatskim zavodom za zdravstveno osiguranje. </w:t>
      </w:r>
    </w:p>
    <w:p w:rsidR="00AC1D21" w:rsidRPr="000E4D93" w:rsidRDefault="00AC1D21" w:rsidP="00AC1D21">
      <w:pPr>
        <w:spacing w:after="0"/>
        <w:jc w:val="both"/>
        <w:rPr>
          <w:rFonts w:cstheme="minorHAnsi"/>
          <w:highlight w:val="yellow"/>
          <w:lang w:val="hr-HR"/>
        </w:rPr>
      </w:pPr>
    </w:p>
    <w:p w:rsidR="00135C45" w:rsidRPr="00A64249" w:rsidRDefault="00135C45" w:rsidP="00135C45">
      <w:pPr>
        <w:spacing w:after="0"/>
        <w:jc w:val="both"/>
        <w:rPr>
          <w:rFonts w:cstheme="minorHAnsi"/>
          <w:b/>
          <w:i/>
          <w:lang w:val="hr-HR"/>
        </w:rPr>
      </w:pPr>
      <w:r w:rsidRPr="00A64249">
        <w:rPr>
          <w:rFonts w:cstheme="minorHAnsi"/>
          <w:b/>
          <w:i/>
          <w:lang w:val="hr-HR"/>
        </w:rPr>
        <w:t>Financijski rashodi</w:t>
      </w:r>
    </w:p>
    <w:p w:rsidR="00A64249" w:rsidRPr="00A64249" w:rsidRDefault="00A64249" w:rsidP="00A64249">
      <w:pPr>
        <w:spacing w:after="0"/>
        <w:jc w:val="both"/>
        <w:rPr>
          <w:rFonts w:cstheme="minorHAnsi"/>
          <w:bCs/>
          <w:lang w:val="hr-HR"/>
        </w:rPr>
      </w:pPr>
      <w:r w:rsidRPr="00A64249">
        <w:rPr>
          <w:rFonts w:cstheme="minorHAnsi"/>
          <w:bCs/>
          <w:lang w:val="hr-HR"/>
        </w:rPr>
        <w:t xml:space="preserve">Ukupni financijski rashodi ovim Izmjenama i dopunama planirani su na razini od 1,2 milijarde eura i u odnosu na tekući plan povećavaju se za 37,3 milijuna eura. Financijski rashodi vezani uz troškove sudskih postupaka se smanjuju, a istovremeno se povećavaju financijski rashodi vezani uz  </w:t>
      </w:r>
      <w:r w:rsidRPr="00A64249">
        <w:rPr>
          <w:rFonts w:cstheme="minorHAnsi"/>
          <w:lang w:val="hr-HR"/>
        </w:rPr>
        <w:t>upravljanje javnim dugom za 76,1 milijun eura</w:t>
      </w:r>
      <w:r w:rsidRPr="00A64249">
        <w:rPr>
          <w:rFonts w:cstheme="minorHAnsi"/>
          <w:bCs/>
          <w:lang w:val="hr-HR"/>
        </w:rPr>
        <w:t xml:space="preserve"> zbog preuzimanja obveza za kreditna zaduženja društva HŽ Infrastruktura d.o.o., troškova aukcije trezorskih zapisa i troškova izdanja obveznic</w:t>
      </w:r>
      <w:r w:rsidR="001F426A">
        <w:rPr>
          <w:rFonts w:cstheme="minorHAnsi"/>
          <w:bCs/>
          <w:lang w:val="hr-HR"/>
        </w:rPr>
        <w:t>a</w:t>
      </w:r>
      <w:r w:rsidRPr="00A64249">
        <w:rPr>
          <w:rFonts w:cstheme="minorHAnsi"/>
          <w:bCs/>
          <w:lang w:val="hr-HR"/>
        </w:rPr>
        <w:t xml:space="preserve">. </w:t>
      </w:r>
    </w:p>
    <w:p w:rsidR="00135C45" w:rsidRPr="000E4D93" w:rsidRDefault="00135C45" w:rsidP="00135C45">
      <w:pPr>
        <w:spacing w:after="0"/>
        <w:jc w:val="both"/>
        <w:rPr>
          <w:rFonts w:cstheme="minorHAnsi"/>
          <w:b/>
          <w:i/>
          <w:highlight w:val="yellow"/>
          <w:lang w:val="hr-HR"/>
        </w:rPr>
      </w:pPr>
    </w:p>
    <w:p w:rsidR="00135C45" w:rsidRPr="00870528" w:rsidRDefault="00135C45" w:rsidP="00135C45">
      <w:pPr>
        <w:spacing w:after="0"/>
        <w:jc w:val="both"/>
        <w:rPr>
          <w:rFonts w:cstheme="minorHAnsi"/>
          <w:b/>
          <w:i/>
          <w:lang w:val="hr-HR"/>
        </w:rPr>
      </w:pPr>
      <w:r w:rsidRPr="00870528">
        <w:rPr>
          <w:rFonts w:cstheme="minorHAnsi"/>
          <w:b/>
          <w:i/>
          <w:lang w:val="hr-HR"/>
        </w:rPr>
        <w:t>Subvencije</w:t>
      </w:r>
    </w:p>
    <w:p w:rsidR="00870528" w:rsidRPr="00870528" w:rsidRDefault="00870528" w:rsidP="00870528">
      <w:pPr>
        <w:spacing w:after="0"/>
        <w:jc w:val="both"/>
        <w:rPr>
          <w:rFonts w:cstheme="minorHAnsi"/>
          <w:lang w:val="hr-HR"/>
        </w:rPr>
      </w:pPr>
      <w:r w:rsidRPr="00870528">
        <w:rPr>
          <w:rFonts w:cstheme="minorHAnsi"/>
          <w:lang w:val="hr-HR"/>
        </w:rPr>
        <w:t xml:space="preserve">Ukupni rashodi za subvencije se u odnosu na tekući plan smanjuju za 96,6 milijun eura i iznose 1,7 milijardi eura. Navedeno smanjenje rezultat je s jedne strane smanjenja rashoda financiranih iz općih prihoda i primitaka, doprinosa i namjenskih primitaka u iznosu od 168,2 milijuna eura i povećanja ove kategorije rashoda financirane iz EU sredstava i ostalih izvora za 71,5 milijuna eura. </w:t>
      </w:r>
    </w:p>
    <w:p w:rsidR="00870528" w:rsidRPr="00870528" w:rsidRDefault="00870528" w:rsidP="00870528">
      <w:pPr>
        <w:spacing w:after="0"/>
        <w:jc w:val="both"/>
        <w:rPr>
          <w:rFonts w:cstheme="minorHAnsi"/>
          <w:lang w:val="hr-HR"/>
        </w:rPr>
      </w:pPr>
    </w:p>
    <w:p w:rsidR="00870528" w:rsidRPr="00870528" w:rsidRDefault="00870528" w:rsidP="00870528">
      <w:pPr>
        <w:spacing w:after="0"/>
        <w:jc w:val="both"/>
        <w:rPr>
          <w:rFonts w:cstheme="minorHAnsi"/>
          <w:lang w:val="hr-HR"/>
        </w:rPr>
      </w:pPr>
      <w:r w:rsidRPr="00870528">
        <w:rPr>
          <w:rFonts w:cstheme="minorHAnsi"/>
          <w:lang w:val="hr-HR"/>
        </w:rPr>
        <w:t>Smanjenje rashoda financiranih iz općih prihoda i primitaka, doprinosa i namjenskih primitaka najvećim dijelom odnosi se na smanjena izdvajanja za subvencioniranje cijene energenata uslijed postepene stabilizacije tržišnih cijena energenata.</w:t>
      </w:r>
    </w:p>
    <w:p w:rsidR="00870528" w:rsidRPr="00870528" w:rsidRDefault="00870528" w:rsidP="00870528">
      <w:pPr>
        <w:spacing w:after="0"/>
        <w:jc w:val="both"/>
        <w:rPr>
          <w:rFonts w:cstheme="minorHAnsi"/>
          <w:lang w:val="hr-HR"/>
        </w:rPr>
      </w:pPr>
    </w:p>
    <w:p w:rsidR="00870528" w:rsidRPr="00870528" w:rsidRDefault="00870528" w:rsidP="00870528">
      <w:pPr>
        <w:spacing w:after="0"/>
        <w:jc w:val="both"/>
        <w:rPr>
          <w:rFonts w:cstheme="minorHAnsi"/>
          <w:lang w:val="hr-HR"/>
        </w:rPr>
      </w:pPr>
      <w:r w:rsidRPr="00870528">
        <w:rPr>
          <w:rFonts w:cstheme="minorHAnsi"/>
          <w:lang w:val="hr-HR"/>
        </w:rPr>
        <w:t xml:space="preserve">S druge strane povećanje ove kategorije rashoda financirane iz EU sredstava i ostalih izvora prvenstveno je rezultat povećanih izdvajanja za mjere ruralnog razvoja. </w:t>
      </w:r>
    </w:p>
    <w:p w:rsidR="00870528" w:rsidRDefault="00870528" w:rsidP="00135C45">
      <w:pPr>
        <w:spacing w:after="0"/>
        <w:jc w:val="both"/>
        <w:rPr>
          <w:rFonts w:cstheme="minorHAnsi"/>
          <w:b/>
          <w:i/>
          <w:highlight w:val="yellow"/>
          <w:lang w:val="hr-HR"/>
        </w:rPr>
      </w:pPr>
    </w:p>
    <w:p w:rsidR="00135C45" w:rsidRPr="00722FDC" w:rsidRDefault="00135C45" w:rsidP="00135C45">
      <w:pPr>
        <w:spacing w:after="0"/>
        <w:jc w:val="both"/>
        <w:rPr>
          <w:rFonts w:cstheme="minorHAnsi"/>
          <w:b/>
          <w:i/>
          <w:lang w:val="hr-HR"/>
        </w:rPr>
      </w:pPr>
      <w:r w:rsidRPr="00722FDC">
        <w:rPr>
          <w:rFonts w:cstheme="minorHAnsi"/>
          <w:b/>
          <w:i/>
          <w:lang w:val="hr-HR"/>
        </w:rPr>
        <w:t>Pomoći dane u inozemstvo i unutar općeg proračuna</w:t>
      </w:r>
    </w:p>
    <w:p w:rsidR="00722FDC" w:rsidRPr="00722FDC" w:rsidRDefault="00722FDC" w:rsidP="00722FDC">
      <w:pPr>
        <w:spacing w:after="0"/>
        <w:jc w:val="both"/>
        <w:rPr>
          <w:rFonts w:cstheme="minorHAnsi"/>
          <w:lang w:val="hr-HR"/>
        </w:rPr>
      </w:pPr>
      <w:r w:rsidRPr="00722FDC">
        <w:rPr>
          <w:rFonts w:cstheme="minorHAnsi"/>
          <w:lang w:val="hr-HR"/>
        </w:rPr>
        <w:t>Ukupne pomoći smanjuju se za 230,9 milijuna eura i iznose 7,5 milijardi eura. Ovo smanjenje rezultat je s jedne strane smanjenja rashoda financiranih iz općih prihoda i primitaka, doprinosa i namjenskih primitaka u iznosu od 272,7 milijuna eura i s druge strane povećanja rashoda financiranih iz EU i ostalih izvora za 41,8 milijuna eura.</w:t>
      </w:r>
    </w:p>
    <w:p w:rsidR="00722FDC" w:rsidRPr="00722FDC" w:rsidRDefault="00722FDC" w:rsidP="00722FDC">
      <w:pPr>
        <w:spacing w:after="0"/>
        <w:jc w:val="both"/>
        <w:rPr>
          <w:rFonts w:cstheme="minorHAnsi"/>
          <w:lang w:val="hr-HR"/>
        </w:rPr>
      </w:pPr>
    </w:p>
    <w:p w:rsidR="00722FDC" w:rsidRPr="00722FDC" w:rsidRDefault="00722FDC" w:rsidP="00722FDC">
      <w:pPr>
        <w:spacing w:after="0"/>
        <w:jc w:val="both"/>
        <w:rPr>
          <w:rFonts w:cstheme="minorHAnsi"/>
          <w:bCs/>
          <w:lang w:val="hr-HR"/>
        </w:rPr>
      </w:pPr>
      <w:r w:rsidRPr="00722FDC">
        <w:rPr>
          <w:rFonts w:cstheme="minorHAnsi"/>
          <w:lang w:val="hr-HR"/>
        </w:rPr>
        <w:t>Unutar ove kategorije rashoda financiranih iz općih prihoda i primitaka, doprinosa i namjenskih primitaka osigurana su dodatna sredstva za rashode za zaposlene u osnovnom i srednjem školstvu u iznosu od 152,5 milijuna eura uslijed povećanja osnovice za obračun plaće u javnim službama. Osim toga osigurana su dodatna sredstva za pomoć željezničkom sektoru  u iznosu od 90,2 milijuna eura te dodatna sredstva za doprinos Republike Hrvatske proračunu Europske unije u iznosu od 89,8 milijuna</w:t>
      </w:r>
      <w:r w:rsidR="002F5327">
        <w:rPr>
          <w:rFonts w:cstheme="minorHAnsi"/>
          <w:lang w:val="hr-HR"/>
        </w:rPr>
        <w:t xml:space="preserve"> eura</w:t>
      </w:r>
      <w:r w:rsidRPr="00722FDC">
        <w:rPr>
          <w:rFonts w:cstheme="minorHAnsi"/>
          <w:lang w:val="hr-HR"/>
        </w:rPr>
        <w:t>. Istovremeno ostvarene su uštede u iznosu od 222,1 milijun eura vezane uz preusmjeravanje financiranja pojedinih projekata na EU izvore financiranja (</w:t>
      </w:r>
      <w:proofErr w:type="spellStart"/>
      <w:r w:rsidRPr="00722FDC">
        <w:rPr>
          <w:rFonts w:cstheme="minorHAnsi"/>
          <w:lang w:val="hr-HR"/>
        </w:rPr>
        <w:t>vodnokomunalni</w:t>
      </w:r>
      <w:proofErr w:type="spellEnd"/>
      <w:r w:rsidRPr="00722FDC">
        <w:rPr>
          <w:rFonts w:cstheme="minorHAnsi"/>
          <w:lang w:val="hr-HR"/>
        </w:rPr>
        <w:t xml:space="preserve"> projekti, projekt </w:t>
      </w:r>
      <w:proofErr w:type="spellStart"/>
      <w:r w:rsidRPr="00722FDC">
        <w:rPr>
          <w:rFonts w:cstheme="minorHAnsi"/>
          <w:lang w:val="hr-HR"/>
        </w:rPr>
        <w:t>jednosmjenske</w:t>
      </w:r>
      <w:proofErr w:type="spellEnd"/>
      <w:r w:rsidRPr="00722FDC">
        <w:rPr>
          <w:rFonts w:cstheme="minorHAnsi"/>
          <w:lang w:val="hr-HR"/>
        </w:rPr>
        <w:t xml:space="preserve"> nastave, zdravstveni turizam i program zapošljavanja žena „Zaželi“). Uštede su ostvarene i na projektima veznim uz usklađivanje s dinamikom provedbe projekata veznih uz na</w:t>
      </w:r>
      <w:r w:rsidRPr="00722FDC">
        <w:rPr>
          <w:rFonts w:cstheme="minorHAnsi"/>
          <w:bCs/>
          <w:lang w:val="hr-HR"/>
        </w:rPr>
        <w:t>stavak obnove zgrada oštećenih potresom u iznosu od 58,6 milijuna eura i uz uvođenje elektroničkog sustava naplate cestarine u iznosu od 25 milijuna eura.</w:t>
      </w:r>
    </w:p>
    <w:p w:rsidR="00722FDC" w:rsidRPr="00722FDC" w:rsidRDefault="00722FDC" w:rsidP="00722FDC">
      <w:pPr>
        <w:spacing w:after="0"/>
        <w:jc w:val="both"/>
        <w:rPr>
          <w:rFonts w:cstheme="minorHAnsi"/>
          <w:bCs/>
          <w:lang w:val="hr-HR"/>
        </w:rPr>
      </w:pPr>
    </w:p>
    <w:p w:rsidR="00722FDC" w:rsidRPr="00722FDC" w:rsidRDefault="00722FDC" w:rsidP="00722FDC">
      <w:pPr>
        <w:spacing w:after="0"/>
        <w:jc w:val="both"/>
        <w:rPr>
          <w:rFonts w:cstheme="minorHAnsi"/>
          <w:lang w:val="hr-HR"/>
        </w:rPr>
      </w:pPr>
      <w:r w:rsidRPr="00722FDC">
        <w:rPr>
          <w:rFonts w:cstheme="minorHAnsi"/>
          <w:lang w:val="hr-HR"/>
        </w:rPr>
        <w:lastRenderedPageBreak/>
        <w:t>Povećanje ove kategorije rashoda financiranih iz EU i ostalih izvora rezultat je preusmjeravanj</w:t>
      </w:r>
      <w:r w:rsidR="009E335E">
        <w:rPr>
          <w:rFonts w:cstheme="minorHAnsi"/>
          <w:lang w:val="hr-HR"/>
        </w:rPr>
        <w:t>a</w:t>
      </w:r>
      <w:r w:rsidRPr="00722FDC">
        <w:rPr>
          <w:rFonts w:cstheme="minorHAnsi"/>
          <w:lang w:val="hr-HR"/>
        </w:rPr>
        <w:t xml:space="preserve"> financiranja pojedinih projekata na EU izvore financiranja i usklađenja s dinamikom provedbe projekata krajnjih korisnika.</w:t>
      </w:r>
    </w:p>
    <w:p w:rsidR="00135C45" w:rsidRPr="000E4D93" w:rsidRDefault="00135C45" w:rsidP="00135C45">
      <w:pPr>
        <w:spacing w:after="0"/>
        <w:jc w:val="both"/>
        <w:rPr>
          <w:rFonts w:cstheme="minorHAnsi"/>
          <w:highlight w:val="yellow"/>
          <w:lang w:val="hr-HR"/>
        </w:rPr>
      </w:pPr>
    </w:p>
    <w:p w:rsidR="00135C45" w:rsidRPr="00E37CB6" w:rsidRDefault="00135C45" w:rsidP="00135C45">
      <w:pPr>
        <w:spacing w:after="0"/>
        <w:jc w:val="both"/>
        <w:rPr>
          <w:rFonts w:cstheme="minorHAnsi"/>
          <w:lang w:val="hr-HR" w:eastAsia="hr-HR"/>
        </w:rPr>
      </w:pPr>
      <w:r w:rsidRPr="00E37CB6">
        <w:rPr>
          <w:rFonts w:cstheme="minorHAnsi"/>
          <w:b/>
          <w:i/>
          <w:lang w:val="hr-HR"/>
        </w:rPr>
        <w:t>Naknade građanima i kućanstvima</w:t>
      </w:r>
    </w:p>
    <w:p w:rsidR="00E37CB6" w:rsidRPr="00E37CB6" w:rsidRDefault="00E37CB6" w:rsidP="00E37CB6">
      <w:pPr>
        <w:spacing w:after="0"/>
        <w:jc w:val="both"/>
        <w:rPr>
          <w:rFonts w:cstheme="minorHAnsi"/>
          <w:lang w:val="hr-HR"/>
        </w:rPr>
      </w:pPr>
      <w:r w:rsidRPr="00E37CB6">
        <w:rPr>
          <w:rFonts w:cstheme="minorHAnsi"/>
          <w:lang w:val="hr-HR"/>
        </w:rPr>
        <w:t xml:space="preserve">Ukupne naknade građanima i kućanstvima na temelju osiguranja i druge naknade planirane su na razini od 12,0 milijardi eura i u odnosu na tekući plan povećavaju se za 683,5 milijuna eura. </w:t>
      </w:r>
    </w:p>
    <w:p w:rsidR="00E37CB6" w:rsidRPr="00E37CB6" w:rsidRDefault="00E37CB6" w:rsidP="00E37CB6">
      <w:pPr>
        <w:spacing w:after="0"/>
        <w:jc w:val="both"/>
        <w:rPr>
          <w:rFonts w:cstheme="minorHAnsi"/>
          <w:lang w:val="hr-HR"/>
        </w:rPr>
      </w:pPr>
    </w:p>
    <w:p w:rsidR="00E37CB6" w:rsidRPr="00E37CB6" w:rsidRDefault="00E37CB6" w:rsidP="00E37CB6">
      <w:pPr>
        <w:spacing w:after="0"/>
        <w:jc w:val="both"/>
        <w:rPr>
          <w:rFonts w:cstheme="minorHAnsi"/>
          <w:lang w:val="hr-HR"/>
        </w:rPr>
      </w:pPr>
      <w:r w:rsidRPr="00E37CB6">
        <w:rPr>
          <w:rFonts w:cstheme="minorHAnsi"/>
          <w:lang w:val="hr-HR"/>
        </w:rPr>
        <w:t>Ovo povećanje u cijelosti je rezultat povećanih izdvajanja za:</w:t>
      </w:r>
    </w:p>
    <w:p w:rsidR="00E37CB6" w:rsidRPr="00E37CB6" w:rsidRDefault="00E37CB6" w:rsidP="00E37CB6">
      <w:pPr>
        <w:numPr>
          <w:ilvl w:val="0"/>
          <w:numId w:val="21"/>
        </w:numPr>
        <w:tabs>
          <w:tab w:val="num" w:pos="1440"/>
        </w:tabs>
        <w:spacing w:after="0"/>
        <w:jc w:val="both"/>
        <w:rPr>
          <w:rFonts w:cstheme="minorHAnsi"/>
          <w:lang w:val="hr-HR"/>
        </w:rPr>
      </w:pPr>
      <w:r w:rsidRPr="00E37CB6">
        <w:rPr>
          <w:rFonts w:cstheme="minorHAnsi"/>
          <w:lang w:val="hr-HR"/>
        </w:rPr>
        <w:t>mirovine i mirovinska primanja u iznosu od 509,0 milijuna eura uslijed primjene novog Zakona o mirovinskom osiguranju koji je stupio na snagu 1. srpnja 2025., a kojim se od 1. srpnja 2025.:</w:t>
      </w:r>
    </w:p>
    <w:p w:rsidR="00E37CB6" w:rsidRPr="00E37CB6" w:rsidRDefault="00E37CB6" w:rsidP="0033747C">
      <w:pPr>
        <w:spacing w:after="0"/>
        <w:ind w:left="720"/>
        <w:jc w:val="both"/>
        <w:rPr>
          <w:rFonts w:cstheme="minorHAnsi"/>
          <w:lang w:val="hr-HR"/>
        </w:rPr>
      </w:pPr>
      <w:r w:rsidRPr="00E37CB6">
        <w:rPr>
          <w:rFonts w:cstheme="minorHAnsi"/>
          <w:lang w:val="hr-HR"/>
        </w:rPr>
        <w:t xml:space="preserve">- promijenila formula usklađivanja mirovina u omjeru 85:15 prema povoljnijem indeksu rasta plaća i potrošačkih cijena (umjesto do 1. srpnja 2025. u omjeru 70:30), </w:t>
      </w:r>
    </w:p>
    <w:p w:rsidR="00E37CB6" w:rsidRPr="00E37CB6" w:rsidRDefault="00E37CB6" w:rsidP="0033747C">
      <w:pPr>
        <w:spacing w:after="0"/>
        <w:ind w:left="720"/>
        <w:jc w:val="both"/>
        <w:rPr>
          <w:rFonts w:cstheme="minorHAnsi"/>
          <w:lang w:val="hr-HR"/>
        </w:rPr>
      </w:pPr>
      <w:r w:rsidRPr="00E37CB6">
        <w:rPr>
          <w:rFonts w:cstheme="minorHAnsi"/>
          <w:lang w:val="hr-HR"/>
        </w:rPr>
        <w:t>- uveo godišnji dodatak na mirovinu, na način da</w:t>
      </w:r>
      <w:r w:rsidR="007A4316">
        <w:rPr>
          <w:rFonts w:cstheme="minorHAnsi"/>
          <w:lang w:val="hr-HR"/>
        </w:rPr>
        <w:t xml:space="preserve"> visina dodatka bude ovisna o </w:t>
      </w:r>
      <w:r w:rsidRPr="00E37CB6">
        <w:rPr>
          <w:rFonts w:cstheme="minorHAnsi"/>
          <w:lang w:val="hr-HR"/>
        </w:rPr>
        <w:t>navršenom mirovinskom stažu, kako bi se valorizirao dulji rad i uspostavio svojevrsni balans između korisnika s višim i nižim iznosima mjesečne mirovine</w:t>
      </w:r>
    </w:p>
    <w:p w:rsidR="00E37CB6" w:rsidRPr="00E37CB6" w:rsidRDefault="00E37CB6" w:rsidP="0033747C">
      <w:pPr>
        <w:spacing w:after="0"/>
        <w:ind w:left="720"/>
        <w:jc w:val="both"/>
        <w:rPr>
          <w:rFonts w:cstheme="minorHAnsi"/>
          <w:lang w:val="hr-HR"/>
        </w:rPr>
      </w:pPr>
      <w:r w:rsidRPr="00E37CB6">
        <w:rPr>
          <w:rFonts w:cstheme="minorHAnsi"/>
          <w:lang w:val="hr-HR"/>
        </w:rPr>
        <w:t>- dodatno povećavaju najniže mirovine (s</w:t>
      </w:r>
      <w:r w:rsidR="007A4316">
        <w:rPr>
          <w:rFonts w:cstheme="minorHAnsi"/>
          <w:lang w:val="hr-HR"/>
        </w:rPr>
        <w:t>a</w:t>
      </w:r>
      <w:r w:rsidRPr="00E37CB6">
        <w:rPr>
          <w:rFonts w:cstheme="minorHAnsi"/>
          <w:lang w:val="hr-HR"/>
        </w:rPr>
        <w:t xml:space="preserve"> 103 % na 106 % aktualne vrijednosti mirovine - AVM)</w:t>
      </w:r>
    </w:p>
    <w:p w:rsidR="00E37CB6" w:rsidRPr="00E37CB6" w:rsidRDefault="00E37CB6" w:rsidP="0033747C">
      <w:pPr>
        <w:spacing w:after="0"/>
        <w:ind w:left="720"/>
        <w:jc w:val="both"/>
        <w:rPr>
          <w:rFonts w:cstheme="minorHAnsi"/>
          <w:lang w:val="hr-HR"/>
        </w:rPr>
      </w:pPr>
      <w:r w:rsidRPr="00E37CB6">
        <w:rPr>
          <w:rFonts w:cstheme="minorHAnsi"/>
          <w:lang w:val="hr-HR"/>
        </w:rPr>
        <w:t>- povećava dodani staž sa 6 na 12 mjeseci za svako rođeno/posvojeno dijete</w:t>
      </w:r>
    </w:p>
    <w:p w:rsidR="00E37CB6" w:rsidRPr="00E37CB6" w:rsidRDefault="00E37CB6" w:rsidP="0033747C">
      <w:pPr>
        <w:spacing w:after="0"/>
        <w:ind w:left="720"/>
        <w:jc w:val="both"/>
        <w:rPr>
          <w:rFonts w:cstheme="minorHAnsi"/>
          <w:lang w:val="hr-HR"/>
        </w:rPr>
      </w:pPr>
      <w:r w:rsidRPr="00E37CB6">
        <w:rPr>
          <w:rFonts w:cstheme="minorHAnsi"/>
          <w:lang w:val="hr-HR"/>
        </w:rPr>
        <w:t>- redefinira povećanje polaznog faktora tzv. bonifikacije od 0,45 % za svaki mjesec ostvarivanja prava na starosnu mirovinu nakon zakonski propisane dobi, i to na način da se više ne uvjetuje s navršenim mirovinskim stažem od 35 godina te da se ne ograničava na najviše pet godina odnosno maksimalno na 27 %.</w:t>
      </w:r>
    </w:p>
    <w:p w:rsidR="00E37CB6" w:rsidRPr="00E37CB6" w:rsidRDefault="00E37CB6" w:rsidP="00E37CB6">
      <w:pPr>
        <w:numPr>
          <w:ilvl w:val="0"/>
          <w:numId w:val="21"/>
        </w:numPr>
        <w:spacing w:after="0"/>
        <w:jc w:val="both"/>
        <w:rPr>
          <w:rFonts w:cstheme="minorHAnsi"/>
          <w:lang w:val="hr-HR"/>
        </w:rPr>
      </w:pPr>
      <w:r w:rsidRPr="00E37CB6">
        <w:rPr>
          <w:rFonts w:cstheme="minorHAnsi"/>
          <w:lang w:val="hr-HR"/>
        </w:rPr>
        <w:t xml:space="preserve">socijalne naknade u iznosu od 185,4 milijuna eura uslijed očekivanog većeg broja korisnika od čega za </w:t>
      </w:r>
      <w:proofErr w:type="spellStart"/>
      <w:r w:rsidRPr="00E37CB6">
        <w:rPr>
          <w:rFonts w:cstheme="minorHAnsi"/>
          <w:lang w:val="hr-HR"/>
        </w:rPr>
        <w:t>inkluzivni</w:t>
      </w:r>
      <w:proofErr w:type="spellEnd"/>
      <w:r w:rsidRPr="00E37CB6">
        <w:rPr>
          <w:rFonts w:cstheme="minorHAnsi"/>
          <w:lang w:val="hr-HR"/>
        </w:rPr>
        <w:t xml:space="preserve"> dodatak 172,3 milijuna eura zbog rasta ukupnog broja zaprimljenih zahtjeva </w:t>
      </w:r>
    </w:p>
    <w:p w:rsidR="00E37CB6" w:rsidRPr="00E37CB6" w:rsidRDefault="00E37CB6" w:rsidP="00E37CB6">
      <w:pPr>
        <w:numPr>
          <w:ilvl w:val="0"/>
          <w:numId w:val="21"/>
        </w:numPr>
        <w:spacing w:after="0"/>
        <w:jc w:val="both"/>
        <w:rPr>
          <w:rFonts w:cstheme="minorHAnsi"/>
          <w:lang w:val="hr-HR"/>
        </w:rPr>
      </w:pPr>
      <w:proofErr w:type="spellStart"/>
      <w:r w:rsidRPr="00E37CB6">
        <w:rPr>
          <w:rFonts w:cstheme="minorHAnsi"/>
          <w:lang w:val="hr-HR"/>
        </w:rPr>
        <w:t>rodiljne</w:t>
      </w:r>
      <w:proofErr w:type="spellEnd"/>
      <w:r w:rsidRPr="00E37CB6">
        <w:rPr>
          <w:rFonts w:cstheme="minorHAnsi"/>
          <w:lang w:val="hr-HR"/>
        </w:rPr>
        <w:t xml:space="preserve"> naknade u iznosu od 43,0 milijuna eura</w:t>
      </w:r>
    </w:p>
    <w:p w:rsidR="00E37CB6" w:rsidRPr="00E37CB6" w:rsidRDefault="00E37CB6" w:rsidP="00E37CB6">
      <w:pPr>
        <w:numPr>
          <w:ilvl w:val="0"/>
          <w:numId w:val="21"/>
        </w:numPr>
        <w:spacing w:after="0"/>
        <w:jc w:val="both"/>
        <w:rPr>
          <w:rFonts w:cstheme="minorHAnsi"/>
          <w:lang w:val="hr-HR"/>
        </w:rPr>
      </w:pPr>
      <w:r w:rsidRPr="00E37CB6">
        <w:rPr>
          <w:rFonts w:cstheme="minorHAnsi"/>
          <w:lang w:val="hr-HR"/>
        </w:rPr>
        <w:t xml:space="preserve">naknadu za ugroženog kupca energenata u iznosu od 10,0 milijuna eura zbog produženja roka isplate uvećanog iznosa naknade do 31. ožujka 2026. </w:t>
      </w:r>
    </w:p>
    <w:p w:rsidR="00E37CB6" w:rsidRPr="00E37CB6" w:rsidRDefault="00E37CB6" w:rsidP="00E37CB6">
      <w:pPr>
        <w:spacing w:after="0"/>
        <w:jc w:val="both"/>
        <w:rPr>
          <w:rFonts w:cstheme="minorHAnsi"/>
          <w:lang w:val="hr-HR"/>
        </w:rPr>
      </w:pPr>
      <w:r w:rsidRPr="00E37CB6">
        <w:rPr>
          <w:rFonts w:cstheme="minorHAnsi"/>
          <w:lang w:val="hr-HR"/>
        </w:rPr>
        <w:t xml:space="preserve">Ovim izmjenama i dopunama ukupna izdvajanja za mirovine i mirovinska primanja planirana su u iznosu 9,2 milijarde eura, za </w:t>
      </w:r>
      <w:proofErr w:type="spellStart"/>
      <w:r w:rsidRPr="00E37CB6">
        <w:rPr>
          <w:rFonts w:cstheme="minorHAnsi"/>
          <w:lang w:val="hr-HR"/>
        </w:rPr>
        <w:t>inkluzivni</w:t>
      </w:r>
      <w:proofErr w:type="spellEnd"/>
      <w:r w:rsidRPr="00E37CB6">
        <w:rPr>
          <w:rFonts w:cstheme="minorHAnsi"/>
          <w:lang w:val="hr-HR"/>
        </w:rPr>
        <w:t xml:space="preserve"> dodatak u iznosu od 999,8 milijuna eura te za dodatni </w:t>
      </w:r>
      <w:proofErr w:type="spellStart"/>
      <w:r w:rsidRPr="00E37CB6">
        <w:rPr>
          <w:rFonts w:cstheme="minorHAnsi"/>
          <w:lang w:val="hr-HR"/>
        </w:rPr>
        <w:t>rodiljni</w:t>
      </w:r>
      <w:proofErr w:type="spellEnd"/>
      <w:r w:rsidRPr="00E37CB6">
        <w:rPr>
          <w:rFonts w:cstheme="minorHAnsi"/>
          <w:lang w:val="hr-HR"/>
        </w:rPr>
        <w:t xml:space="preserve"> dopust, roditeljski dopust i opremu za novorođeno dijete u iznosu od 474,3 milijuna eura.</w:t>
      </w:r>
    </w:p>
    <w:p w:rsidR="00135C45" w:rsidRPr="000E4D93" w:rsidRDefault="00135C45" w:rsidP="00135C45">
      <w:pPr>
        <w:spacing w:after="0"/>
        <w:jc w:val="both"/>
        <w:rPr>
          <w:rFonts w:cstheme="minorHAnsi"/>
          <w:highlight w:val="yellow"/>
          <w:lang w:val="hr-HR"/>
        </w:rPr>
      </w:pPr>
    </w:p>
    <w:p w:rsidR="00135C45" w:rsidRPr="00E37CB6" w:rsidRDefault="00135C45" w:rsidP="00135C45">
      <w:pPr>
        <w:spacing w:after="0"/>
        <w:jc w:val="both"/>
        <w:rPr>
          <w:rFonts w:cstheme="minorHAnsi"/>
          <w:b/>
          <w:i/>
          <w:lang w:val="hr-HR"/>
        </w:rPr>
      </w:pPr>
      <w:r w:rsidRPr="00E37CB6">
        <w:rPr>
          <w:rFonts w:cstheme="minorHAnsi"/>
          <w:b/>
          <w:i/>
          <w:lang w:val="hr-HR"/>
        </w:rPr>
        <w:t xml:space="preserve">Ostali rashodi </w:t>
      </w:r>
    </w:p>
    <w:p w:rsidR="00E37CB6" w:rsidRPr="00E37CB6" w:rsidRDefault="00E37CB6" w:rsidP="00E37CB6">
      <w:pPr>
        <w:spacing w:after="0"/>
        <w:jc w:val="both"/>
        <w:rPr>
          <w:rFonts w:cstheme="minorHAnsi"/>
          <w:lang w:val="hr-HR"/>
        </w:rPr>
      </w:pPr>
      <w:r w:rsidRPr="00E37CB6">
        <w:rPr>
          <w:rFonts w:cstheme="minorHAnsi"/>
          <w:lang w:val="hr-HR"/>
        </w:rPr>
        <w:t xml:space="preserve">Ukupni ostali rashodi smanjuju se za 334,1 milijun eura i to najvećim dijelom zbog smanjenja </w:t>
      </w:r>
      <w:r w:rsidRPr="00E37CB6">
        <w:rPr>
          <w:rFonts w:cstheme="minorHAnsi"/>
          <w:bCs/>
          <w:lang w:val="hr-HR"/>
        </w:rPr>
        <w:t xml:space="preserve">rashoda </w:t>
      </w:r>
      <w:r w:rsidRPr="00E37CB6">
        <w:rPr>
          <w:rFonts w:cstheme="minorHAnsi"/>
          <w:lang w:val="hr-HR"/>
        </w:rPr>
        <w:t>financiranih iz općih prihoda i primitaka, doprinosa i namjenskih primitaka u iznosu od 246,1 milijun eura. Ovo smanjenje rezultat je usklađivanja dinamike provedbe projekata kod krajnjih korisnika prvenstveno vezanih uz projekte energetske održivosti, projekte vezane uz sanaciju štete od potresa te projekte sufinancirane u okviru programa Konkurentnost i kohezija i Učinkoviti ljudski potencijali.</w:t>
      </w:r>
    </w:p>
    <w:p w:rsidR="00E37CB6" w:rsidRPr="00E37CB6" w:rsidRDefault="00E37CB6" w:rsidP="00E37CB6">
      <w:pPr>
        <w:spacing w:after="0"/>
        <w:jc w:val="both"/>
        <w:rPr>
          <w:rFonts w:cstheme="minorHAnsi"/>
          <w:lang w:val="hr-HR"/>
        </w:rPr>
      </w:pPr>
    </w:p>
    <w:p w:rsidR="00E37CB6" w:rsidRPr="00E37CB6" w:rsidRDefault="00E37CB6" w:rsidP="00E37CB6">
      <w:pPr>
        <w:spacing w:after="0"/>
        <w:jc w:val="both"/>
        <w:rPr>
          <w:rFonts w:cstheme="minorHAnsi"/>
          <w:lang w:val="hr-HR"/>
        </w:rPr>
      </w:pPr>
      <w:r w:rsidRPr="00E37CB6">
        <w:rPr>
          <w:rFonts w:cstheme="minorHAnsi"/>
          <w:lang w:val="hr-HR"/>
        </w:rPr>
        <w:t>Rashodi financirani iz EU i ostalih izvora smanjuju za 87,9 milijuna eura najvećim dijelom radi usklađenja s dinamikom provedbe projekata krajnjih korisnika.</w:t>
      </w:r>
    </w:p>
    <w:p w:rsidR="00135C45" w:rsidRPr="000E4D93" w:rsidRDefault="00135C45" w:rsidP="00135C45">
      <w:pPr>
        <w:spacing w:after="0"/>
        <w:jc w:val="both"/>
        <w:rPr>
          <w:rFonts w:cstheme="minorHAnsi"/>
          <w:highlight w:val="yellow"/>
          <w:lang w:val="hr-HR"/>
        </w:rPr>
      </w:pPr>
    </w:p>
    <w:p w:rsidR="00135C45" w:rsidRPr="004F3BC6" w:rsidRDefault="00135C45" w:rsidP="00135C45">
      <w:pPr>
        <w:spacing w:after="0"/>
        <w:jc w:val="both"/>
        <w:rPr>
          <w:rFonts w:cstheme="minorHAnsi"/>
          <w:b/>
          <w:lang w:val="hr-HR"/>
        </w:rPr>
      </w:pPr>
      <w:r w:rsidRPr="004F3BC6">
        <w:rPr>
          <w:rFonts w:cstheme="minorHAnsi"/>
          <w:b/>
          <w:lang w:val="hr-HR"/>
        </w:rPr>
        <w:t>Rashodi za nabavu nefinancijske imovine</w:t>
      </w:r>
    </w:p>
    <w:p w:rsidR="004F3BC6" w:rsidRPr="004F3BC6" w:rsidRDefault="004F3BC6" w:rsidP="004F3BC6">
      <w:pPr>
        <w:spacing w:after="0"/>
        <w:jc w:val="both"/>
        <w:rPr>
          <w:rFonts w:cstheme="minorHAnsi"/>
          <w:lang w:val="hr-HR"/>
        </w:rPr>
      </w:pPr>
      <w:r w:rsidRPr="004F3BC6">
        <w:rPr>
          <w:rFonts w:cstheme="minorHAnsi"/>
          <w:lang w:val="hr-HR"/>
        </w:rPr>
        <w:t xml:space="preserve">Ukupni rashodi za nabavu nefinancijske imovine smanjuju se za 615,1 milijun eura i iznose 2,2 milijarde eura. Navedeno je rezultat usklađenja s dinamikom provedbe projekata krajnjih korisnika najvećim </w:t>
      </w:r>
      <w:r w:rsidRPr="004F3BC6">
        <w:rPr>
          <w:rFonts w:cstheme="minorHAnsi"/>
          <w:lang w:val="hr-HR"/>
        </w:rPr>
        <w:lastRenderedPageBreak/>
        <w:t>dijelom iz</w:t>
      </w:r>
      <w:r w:rsidRPr="004F3BC6">
        <w:rPr>
          <w:rFonts w:cstheme="minorHAnsi"/>
        </w:rPr>
        <w:t xml:space="preserve"> </w:t>
      </w:r>
      <w:r w:rsidRPr="004F3BC6">
        <w:rPr>
          <w:rFonts w:cstheme="minorHAnsi"/>
          <w:lang w:val="hr-HR"/>
        </w:rPr>
        <w:t xml:space="preserve">nadležnosti Ministarstva obrane, Ministarstva zdravstva, Ministarstva znanosti i obrazovanja, Ministarstva pravosuđa, uprave i digitalne transformacije i Ministarstva prostornoga uređenja, graditeljstva i državne imovine uključujući i projekte vezane uz sanaciju štete od potresa. </w:t>
      </w:r>
    </w:p>
    <w:p w:rsidR="001F1D66" w:rsidRPr="000E4D93" w:rsidRDefault="001F1D66" w:rsidP="007C5725">
      <w:pPr>
        <w:spacing w:after="0"/>
        <w:jc w:val="both"/>
        <w:rPr>
          <w:rFonts w:cstheme="minorHAnsi"/>
          <w:highlight w:val="yellow"/>
          <w:lang w:val="hr-HR"/>
        </w:rPr>
      </w:pPr>
    </w:p>
    <w:p w:rsidR="00D46757" w:rsidRPr="00FF34A1" w:rsidRDefault="00A461B3" w:rsidP="00D46757">
      <w:pPr>
        <w:pStyle w:val="Heading2"/>
        <w:numPr>
          <w:ilvl w:val="1"/>
          <w:numId w:val="3"/>
        </w:numPr>
        <w:spacing w:after="240"/>
        <w:ind w:left="993" w:hanging="567"/>
        <w:rPr>
          <w:rFonts w:asciiTheme="minorHAnsi" w:hAnsiTheme="minorHAnsi" w:cstheme="minorHAnsi"/>
          <w:sz w:val="22"/>
          <w:szCs w:val="22"/>
          <w:lang w:val="hr-HR"/>
        </w:rPr>
      </w:pPr>
      <w:bookmarkStart w:id="12" w:name="_Toc23378482"/>
      <w:bookmarkStart w:id="13" w:name="_Toc210305053"/>
      <w:r w:rsidRPr="00FF34A1">
        <w:rPr>
          <w:rFonts w:asciiTheme="minorHAnsi" w:hAnsiTheme="minorHAnsi" w:cstheme="minorHAnsi"/>
          <w:sz w:val="22"/>
          <w:szCs w:val="22"/>
          <w:lang w:val="hr-HR"/>
        </w:rPr>
        <w:t>Obrazloženje rashoda po funkcijskoj klasifikaciji</w:t>
      </w:r>
      <w:bookmarkEnd w:id="12"/>
      <w:bookmarkEnd w:id="13"/>
    </w:p>
    <w:p w:rsidR="00FF34A1" w:rsidRPr="00FF34A1" w:rsidRDefault="00FF34A1" w:rsidP="0033747C">
      <w:pPr>
        <w:spacing w:after="0"/>
        <w:jc w:val="both"/>
        <w:rPr>
          <w:rFonts w:cstheme="minorHAnsi"/>
          <w:lang w:val="hr-HR"/>
        </w:rPr>
      </w:pPr>
      <w:r w:rsidRPr="00FF34A1">
        <w:rPr>
          <w:rFonts w:cstheme="minorHAnsi"/>
          <w:lang w:val="hr-HR"/>
        </w:rPr>
        <w:t>Promatrano kroz funkcijsku klasifikaciju rashodi državnog proračuna smanjuju se za 223,0 milijuna eura kao rezultat povećanih izdvajanja u okviru funkcijskih područja socijalna zaštita, zdravstvo, opće javne usluge i javni red i sigurnost dok su istovremeno na drugim funkcijskim područjima ostvarene uštede. Najznačajnija povećanja po područjima iznose kako slijedi:</w:t>
      </w:r>
    </w:p>
    <w:p w:rsidR="00FF34A1" w:rsidRPr="00FF34A1" w:rsidRDefault="00FF34A1" w:rsidP="00FF34A1">
      <w:pPr>
        <w:pStyle w:val="ListParagraph"/>
        <w:numPr>
          <w:ilvl w:val="0"/>
          <w:numId w:val="11"/>
        </w:numPr>
        <w:spacing w:after="0" w:line="240" w:lineRule="auto"/>
        <w:jc w:val="both"/>
        <w:rPr>
          <w:rFonts w:cstheme="minorHAnsi"/>
          <w:lang w:val="hr-HR"/>
        </w:rPr>
      </w:pPr>
      <w:r w:rsidRPr="00FF34A1">
        <w:rPr>
          <w:rFonts w:cstheme="minorHAnsi"/>
          <w:lang w:val="hr-HR"/>
        </w:rPr>
        <w:t xml:space="preserve">socijalna zaštita u iznosu od 599,4 milijuna eura zbog osiguranja sredstava za mirovine i mirovinska primanja, socijalne naknade koje uključuju i </w:t>
      </w:r>
      <w:proofErr w:type="spellStart"/>
      <w:r w:rsidRPr="00FF34A1">
        <w:rPr>
          <w:rFonts w:cstheme="minorHAnsi"/>
          <w:lang w:val="hr-HR"/>
        </w:rPr>
        <w:t>inkluzivni</w:t>
      </w:r>
      <w:proofErr w:type="spellEnd"/>
      <w:r w:rsidRPr="00FF34A1">
        <w:rPr>
          <w:rFonts w:cstheme="minorHAnsi"/>
          <w:lang w:val="hr-HR"/>
        </w:rPr>
        <w:t xml:space="preserve"> dodatak te </w:t>
      </w:r>
      <w:proofErr w:type="spellStart"/>
      <w:r w:rsidRPr="00FF34A1">
        <w:rPr>
          <w:rFonts w:cstheme="minorHAnsi"/>
          <w:lang w:val="hr-HR"/>
        </w:rPr>
        <w:t>rodiljne</w:t>
      </w:r>
      <w:proofErr w:type="spellEnd"/>
      <w:r w:rsidRPr="00FF34A1">
        <w:rPr>
          <w:rFonts w:cstheme="minorHAnsi"/>
          <w:lang w:val="hr-HR"/>
        </w:rPr>
        <w:t xml:space="preserve"> naknade</w:t>
      </w:r>
    </w:p>
    <w:p w:rsidR="00FF34A1" w:rsidRPr="00FF34A1" w:rsidRDefault="00FF34A1" w:rsidP="00FF34A1">
      <w:pPr>
        <w:pStyle w:val="ListParagraph"/>
        <w:numPr>
          <w:ilvl w:val="0"/>
          <w:numId w:val="11"/>
        </w:numPr>
        <w:spacing w:after="0" w:line="240" w:lineRule="auto"/>
        <w:jc w:val="both"/>
        <w:rPr>
          <w:rFonts w:cstheme="minorHAnsi"/>
          <w:lang w:val="hr-HR"/>
        </w:rPr>
      </w:pPr>
      <w:r w:rsidRPr="00FF34A1">
        <w:rPr>
          <w:rFonts w:cstheme="minorHAnsi"/>
          <w:lang w:val="hr-HR"/>
        </w:rPr>
        <w:t xml:space="preserve">zdravstvo u iznosu od 154,4 milijuna eura zbog rasta osnovice za obračun plaća i dodatnih sredstava za ustanove u zdravstvu financirane iz prihoda temeljem ugovornog odnosa sa Hrvatskim zavodom za zdravstveno osiguranje </w:t>
      </w:r>
    </w:p>
    <w:p w:rsidR="00FF34A1" w:rsidRPr="00FF34A1" w:rsidRDefault="00FF34A1" w:rsidP="00FF34A1">
      <w:pPr>
        <w:spacing w:after="0" w:line="240" w:lineRule="auto"/>
        <w:jc w:val="both"/>
        <w:rPr>
          <w:rFonts w:cstheme="minorHAnsi"/>
          <w:lang w:val="hr-HR"/>
        </w:rPr>
      </w:pPr>
    </w:p>
    <w:p w:rsidR="00FF34A1" w:rsidRPr="00FF34A1" w:rsidRDefault="00FF34A1" w:rsidP="00FF34A1">
      <w:pPr>
        <w:spacing w:after="0" w:line="240" w:lineRule="auto"/>
        <w:jc w:val="both"/>
        <w:rPr>
          <w:rFonts w:cstheme="minorHAnsi"/>
          <w:lang w:val="hr-HR"/>
        </w:rPr>
      </w:pPr>
      <w:r w:rsidRPr="00FF34A1">
        <w:rPr>
          <w:rFonts w:cstheme="minorHAnsi"/>
          <w:lang w:val="hr-HR"/>
        </w:rPr>
        <w:t>Najznačajnije uštede ostvarene su po sljedećim područjima i iznosima:</w:t>
      </w:r>
    </w:p>
    <w:p w:rsidR="00FF34A1" w:rsidRPr="00FF34A1" w:rsidRDefault="00FF34A1" w:rsidP="00FF34A1">
      <w:pPr>
        <w:pStyle w:val="ListParagraph"/>
        <w:numPr>
          <w:ilvl w:val="0"/>
          <w:numId w:val="11"/>
        </w:numPr>
        <w:spacing w:after="0" w:line="240" w:lineRule="auto"/>
        <w:jc w:val="both"/>
        <w:rPr>
          <w:rFonts w:cstheme="minorHAnsi"/>
          <w:lang w:val="hr-HR"/>
        </w:rPr>
      </w:pPr>
      <w:r w:rsidRPr="00FF34A1">
        <w:rPr>
          <w:rFonts w:cstheme="minorHAnsi"/>
          <w:lang w:val="hr-HR"/>
        </w:rPr>
        <w:t>ekonomski poslovi u iznosu od 593,9 milijuna eura uslijed usklađivanja dinamike provedbe projekata kod krajnjih korisnika prvenstveno vezanih uz projekte energetske održivosti, projekte vezane uz sanaciju štete od potresa te projekte sufinancirane u okviru programa Konkurentnost i kohezija i Učinkoviti ljudski potencijali</w:t>
      </w:r>
    </w:p>
    <w:p w:rsidR="00FF34A1" w:rsidRPr="00FF34A1" w:rsidRDefault="00FF34A1" w:rsidP="00FF34A1">
      <w:pPr>
        <w:pStyle w:val="ListParagraph"/>
        <w:numPr>
          <w:ilvl w:val="0"/>
          <w:numId w:val="11"/>
        </w:numPr>
        <w:spacing w:after="0" w:line="240" w:lineRule="auto"/>
        <w:jc w:val="both"/>
        <w:rPr>
          <w:rFonts w:cstheme="minorHAnsi"/>
          <w:lang w:val="hr-HR"/>
        </w:rPr>
      </w:pPr>
      <w:r w:rsidRPr="00FF34A1">
        <w:rPr>
          <w:rFonts w:cstheme="minorHAnsi"/>
          <w:lang w:val="hr-HR"/>
        </w:rPr>
        <w:t xml:space="preserve">obranu u iznosu od 163,9 milijuna eura sukladno dinamici provedbe opremanja i modernizacije oružanih snaga  </w:t>
      </w:r>
    </w:p>
    <w:p w:rsidR="00FF34A1" w:rsidRPr="00FF34A1" w:rsidRDefault="00FF34A1" w:rsidP="00FF34A1">
      <w:pPr>
        <w:pStyle w:val="ListParagraph"/>
        <w:numPr>
          <w:ilvl w:val="0"/>
          <w:numId w:val="11"/>
        </w:numPr>
        <w:spacing w:after="0" w:line="240" w:lineRule="auto"/>
        <w:jc w:val="both"/>
        <w:rPr>
          <w:rFonts w:cstheme="minorHAnsi"/>
        </w:rPr>
      </w:pPr>
      <w:r w:rsidRPr="00FF34A1">
        <w:rPr>
          <w:rFonts w:cstheme="minorHAnsi"/>
          <w:lang w:val="hr-HR"/>
        </w:rPr>
        <w:t xml:space="preserve">usluge unapređenja stanovanja i zajednice u iznosu od 162,1 milijun eura i to najvećim dijelom uslijed promijenjene dinamike provedbe projekta financiranih u okviru Programa konkurentnost i kohezija </w:t>
      </w:r>
    </w:p>
    <w:p w:rsidR="00FF34A1" w:rsidRPr="00731E99" w:rsidRDefault="00FF34A1" w:rsidP="00FF34A1">
      <w:pPr>
        <w:pStyle w:val="ListParagraph"/>
        <w:spacing w:after="0" w:line="240" w:lineRule="auto"/>
        <w:ind w:left="1080"/>
        <w:jc w:val="both"/>
        <w:rPr>
          <w:rFonts w:cstheme="minorHAnsi"/>
        </w:rPr>
      </w:pPr>
    </w:p>
    <w:p w:rsidR="0054100C" w:rsidRPr="00FF34A1" w:rsidRDefault="0054100C" w:rsidP="0090598D">
      <w:pPr>
        <w:spacing w:after="0"/>
        <w:jc w:val="both"/>
        <w:rPr>
          <w:rFonts w:cstheme="minorHAnsi"/>
          <w:lang w:val="hr-HR"/>
        </w:rPr>
      </w:pPr>
      <w:proofErr w:type="spellStart"/>
      <w:r w:rsidRPr="00FF34A1">
        <w:rPr>
          <w:rFonts w:cstheme="minorHAnsi"/>
          <w:i/>
        </w:rPr>
        <w:t>Tablica</w:t>
      </w:r>
      <w:proofErr w:type="spellEnd"/>
      <w:r w:rsidRPr="00FF34A1">
        <w:rPr>
          <w:rFonts w:cstheme="minorHAnsi"/>
          <w:i/>
        </w:rPr>
        <w:t xml:space="preserve"> </w:t>
      </w:r>
      <w:r w:rsidR="00F03484" w:rsidRPr="00FF34A1">
        <w:rPr>
          <w:rFonts w:cstheme="minorHAnsi"/>
          <w:i/>
        </w:rPr>
        <w:t>4</w:t>
      </w:r>
      <w:r w:rsidRPr="00FF34A1">
        <w:rPr>
          <w:rFonts w:cstheme="minorHAnsi"/>
          <w:i/>
        </w:rPr>
        <w:t xml:space="preserve">. </w:t>
      </w:r>
      <w:proofErr w:type="spellStart"/>
      <w:r w:rsidRPr="00FF34A1">
        <w:rPr>
          <w:rFonts w:cstheme="minorHAnsi"/>
          <w:i/>
        </w:rPr>
        <w:t>Rashodi</w:t>
      </w:r>
      <w:proofErr w:type="spellEnd"/>
      <w:r w:rsidRPr="00FF34A1">
        <w:rPr>
          <w:rFonts w:cstheme="minorHAnsi"/>
          <w:i/>
        </w:rPr>
        <w:t xml:space="preserve"> </w:t>
      </w:r>
      <w:proofErr w:type="spellStart"/>
      <w:r w:rsidRPr="00FF34A1">
        <w:rPr>
          <w:rFonts w:cstheme="minorHAnsi"/>
          <w:i/>
        </w:rPr>
        <w:t>državnog</w:t>
      </w:r>
      <w:proofErr w:type="spellEnd"/>
      <w:r w:rsidRPr="00FF34A1">
        <w:rPr>
          <w:rFonts w:cstheme="minorHAnsi"/>
          <w:i/>
        </w:rPr>
        <w:t xml:space="preserve"> </w:t>
      </w:r>
      <w:proofErr w:type="spellStart"/>
      <w:r w:rsidRPr="00FF34A1">
        <w:rPr>
          <w:rFonts w:cstheme="minorHAnsi"/>
          <w:i/>
        </w:rPr>
        <w:t>proračuna</w:t>
      </w:r>
      <w:proofErr w:type="spellEnd"/>
      <w:r w:rsidRPr="00FF34A1">
        <w:rPr>
          <w:rFonts w:cstheme="minorHAnsi"/>
          <w:i/>
        </w:rPr>
        <w:t xml:space="preserve"> </w:t>
      </w:r>
      <w:proofErr w:type="spellStart"/>
      <w:r w:rsidRPr="00FF34A1">
        <w:rPr>
          <w:rFonts w:cstheme="minorHAnsi"/>
          <w:i/>
        </w:rPr>
        <w:t>po</w:t>
      </w:r>
      <w:proofErr w:type="spellEnd"/>
      <w:r w:rsidRPr="00FF34A1">
        <w:rPr>
          <w:rFonts w:cstheme="minorHAnsi"/>
          <w:i/>
        </w:rPr>
        <w:t xml:space="preserve"> </w:t>
      </w:r>
      <w:proofErr w:type="spellStart"/>
      <w:r w:rsidRPr="00FF34A1">
        <w:rPr>
          <w:rFonts w:cstheme="minorHAnsi"/>
          <w:i/>
        </w:rPr>
        <w:t>funkcijskoj</w:t>
      </w:r>
      <w:proofErr w:type="spellEnd"/>
      <w:r w:rsidRPr="00FF34A1">
        <w:rPr>
          <w:rFonts w:cstheme="minorHAnsi"/>
          <w:i/>
        </w:rPr>
        <w:t xml:space="preserve"> </w:t>
      </w:r>
      <w:proofErr w:type="spellStart"/>
      <w:r w:rsidRPr="00FF34A1">
        <w:rPr>
          <w:rFonts w:cstheme="minorHAnsi"/>
          <w:i/>
        </w:rPr>
        <w:t>klasifikaciji</w:t>
      </w:r>
      <w:proofErr w:type="spellEnd"/>
      <w:r w:rsidRPr="00FF34A1">
        <w:rPr>
          <w:rFonts w:cstheme="minorHAnsi"/>
        </w:rPr>
        <w:t xml:space="preserve">  </w:t>
      </w:r>
    </w:p>
    <w:p w:rsidR="00D46757" w:rsidRPr="00FF34A1" w:rsidRDefault="00FF34A1" w:rsidP="00E671B1">
      <w:pPr>
        <w:spacing w:after="0"/>
        <w:rPr>
          <w:lang w:val="hr-HR"/>
        </w:rPr>
      </w:pPr>
      <w:r w:rsidRPr="00FF34A1">
        <w:rPr>
          <w:noProof/>
          <w:lang w:val="hr-HR" w:eastAsia="hr-HR"/>
        </w:rPr>
        <w:drawing>
          <wp:inline distT="0" distB="0" distL="0" distR="0" wp14:anchorId="38A0BBA5" wp14:editId="094B7CB7">
            <wp:extent cx="5759450" cy="2729739"/>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729739"/>
                    </a:xfrm>
                    <a:prstGeom prst="rect">
                      <a:avLst/>
                    </a:prstGeom>
                    <a:noFill/>
                    <a:ln>
                      <a:noFill/>
                    </a:ln>
                  </pic:spPr>
                </pic:pic>
              </a:graphicData>
            </a:graphic>
          </wp:inline>
        </w:drawing>
      </w:r>
    </w:p>
    <w:p w:rsidR="007C5725" w:rsidRPr="00FF34A1" w:rsidRDefault="0054100C" w:rsidP="0054100C">
      <w:pPr>
        <w:rPr>
          <w:rFonts w:cstheme="minorHAnsi"/>
          <w:i/>
        </w:rPr>
      </w:pPr>
      <w:proofErr w:type="spellStart"/>
      <w:r w:rsidRPr="00FF34A1">
        <w:rPr>
          <w:rFonts w:cstheme="minorHAnsi"/>
          <w:i/>
        </w:rPr>
        <w:t>Izvor</w:t>
      </w:r>
      <w:proofErr w:type="spellEnd"/>
      <w:r w:rsidRPr="00FF34A1">
        <w:rPr>
          <w:rFonts w:cstheme="minorHAnsi"/>
          <w:i/>
        </w:rPr>
        <w:t xml:space="preserve">: </w:t>
      </w:r>
      <w:proofErr w:type="spellStart"/>
      <w:r w:rsidRPr="00FF34A1">
        <w:rPr>
          <w:rFonts w:cstheme="minorHAnsi"/>
          <w:i/>
        </w:rPr>
        <w:t>Ministarstvo</w:t>
      </w:r>
      <w:proofErr w:type="spellEnd"/>
      <w:r w:rsidRPr="00FF34A1">
        <w:rPr>
          <w:rFonts w:cstheme="minorHAnsi"/>
          <w:i/>
        </w:rPr>
        <w:t xml:space="preserve"> </w:t>
      </w:r>
      <w:proofErr w:type="spellStart"/>
      <w:r w:rsidRPr="00FF34A1">
        <w:rPr>
          <w:rFonts w:cstheme="minorHAnsi"/>
          <w:i/>
        </w:rPr>
        <w:t>financija</w:t>
      </w:r>
      <w:proofErr w:type="spellEnd"/>
    </w:p>
    <w:p w:rsidR="00A77AFD" w:rsidRPr="000E4D93" w:rsidRDefault="00A77AFD" w:rsidP="0054100C">
      <w:pPr>
        <w:rPr>
          <w:rFonts w:cstheme="minorHAnsi"/>
          <w:b/>
          <w:i/>
          <w:highlight w:val="yellow"/>
        </w:rPr>
      </w:pPr>
    </w:p>
    <w:p w:rsidR="00E21C16" w:rsidRPr="00FF34A1" w:rsidRDefault="00A461B3" w:rsidP="007C5725">
      <w:pPr>
        <w:pStyle w:val="Heading2"/>
        <w:numPr>
          <w:ilvl w:val="1"/>
          <w:numId w:val="3"/>
        </w:numPr>
        <w:spacing w:after="240"/>
        <w:ind w:left="993" w:hanging="567"/>
        <w:rPr>
          <w:rFonts w:asciiTheme="minorHAnsi" w:hAnsiTheme="minorHAnsi" w:cstheme="minorHAnsi"/>
          <w:sz w:val="22"/>
          <w:szCs w:val="22"/>
          <w:lang w:val="hr-HR"/>
        </w:rPr>
      </w:pPr>
      <w:bookmarkStart w:id="14" w:name="_Toc23378483"/>
      <w:bookmarkStart w:id="15" w:name="_Toc210305054"/>
      <w:r w:rsidRPr="00FF34A1">
        <w:rPr>
          <w:rFonts w:asciiTheme="minorHAnsi" w:hAnsiTheme="minorHAnsi" w:cstheme="minorHAnsi"/>
          <w:sz w:val="22"/>
          <w:szCs w:val="22"/>
          <w:lang w:val="hr-HR"/>
        </w:rPr>
        <w:lastRenderedPageBreak/>
        <w:t>Obrazloženje rashoda po izvorima financiranja</w:t>
      </w:r>
      <w:bookmarkEnd w:id="14"/>
      <w:bookmarkEnd w:id="15"/>
    </w:p>
    <w:p w:rsidR="00A77AFD" w:rsidRPr="00FF34A1" w:rsidRDefault="00A77AFD" w:rsidP="00961B26">
      <w:pPr>
        <w:pStyle w:val="Caption"/>
        <w:spacing w:line="276" w:lineRule="auto"/>
        <w:rPr>
          <w:rFonts w:asciiTheme="minorHAnsi" w:eastAsiaTheme="minorHAnsi" w:hAnsiTheme="minorHAnsi" w:cstheme="minorHAnsi"/>
          <w:b w:val="0"/>
          <w:bCs w:val="0"/>
          <w:sz w:val="22"/>
          <w:szCs w:val="22"/>
          <w:highlight w:val="yellow"/>
        </w:rPr>
      </w:pPr>
    </w:p>
    <w:p w:rsidR="00FF34A1" w:rsidRPr="00FF34A1" w:rsidRDefault="00FF34A1" w:rsidP="0033747C">
      <w:pPr>
        <w:spacing w:after="0"/>
        <w:jc w:val="both"/>
        <w:rPr>
          <w:rFonts w:cstheme="minorHAnsi"/>
          <w:lang w:val="hr-HR"/>
        </w:rPr>
      </w:pPr>
      <w:r w:rsidRPr="00FF34A1">
        <w:rPr>
          <w:rFonts w:cstheme="minorHAnsi"/>
          <w:lang w:val="hr-HR"/>
        </w:rPr>
        <w:t>Promatrano kroz izvore financiranja, rashodi koji se financiraju iz općih prihoda i primitaka, doprinosa i namjenskih primitaka smanjuju se za 454,5 milijuna eura, dok se rashodi koji se financiraju iz vlastitih prihoda, prihoda za posebne namjene, pomoći (koje uključuju EU sredstva), donacija i prihoda od nefinancijske imovine i nadoknade štete s osnova osiguranja povećavaju za 231,4 milijuna eura.</w:t>
      </w:r>
    </w:p>
    <w:p w:rsidR="00A77AFD" w:rsidRPr="000E4D93" w:rsidRDefault="00A77AFD" w:rsidP="0033747C">
      <w:pPr>
        <w:pStyle w:val="Caption"/>
        <w:spacing w:line="276" w:lineRule="auto"/>
        <w:rPr>
          <w:rFonts w:asciiTheme="minorHAnsi" w:eastAsiaTheme="minorHAnsi" w:hAnsiTheme="minorHAnsi" w:cstheme="minorBidi"/>
          <w:b w:val="0"/>
          <w:bCs w:val="0"/>
          <w:sz w:val="22"/>
          <w:szCs w:val="22"/>
          <w:highlight w:val="yellow"/>
        </w:rPr>
      </w:pPr>
    </w:p>
    <w:p w:rsidR="0054100C" w:rsidRPr="00D03C63" w:rsidRDefault="00F03484" w:rsidP="0054100C">
      <w:pPr>
        <w:pStyle w:val="Caption"/>
        <w:rPr>
          <w:rFonts w:asciiTheme="minorHAnsi" w:hAnsiTheme="minorHAnsi" w:cstheme="minorHAnsi"/>
          <w:b w:val="0"/>
          <w:i/>
          <w:sz w:val="22"/>
          <w:szCs w:val="22"/>
        </w:rPr>
      </w:pPr>
      <w:r w:rsidRPr="00D03C63">
        <w:rPr>
          <w:rFonts w:asciiTheme="minorHAnsi" w:hAnsiTheme="minorHAnsi" w:cstheme="minorHAnsi"/>
          <w:b w:val="0"/>
          <w:i/>
          <w:sz w:val="22"/>
          <w:szCs w:val="22"/>
        </w:rPr>
        <w:t>Tablica 5</w:t>
      </w:r>
      <w:r w:rsidR="0054100C" w:rsidRPr="00D03C63">
        <w:rPr>
          <w:rFonts w:asciiTheme="minorHAnsi" w:hAnsiTheme="minorHAnsi" w:cstheme="minorHAnsi"/>
          <w:b w:val="0"/>
          <w:i/>
          <w:sz w:val="22"/>
          <w:szCs w:val="22"/>
        </w:rPr>
        <w:t>. Rashodi državnog proračuna po izvorima financiranja</w:t>
      </w:r>
    </w:p>
    <w:p w:rsidR="0054100C" w:rsidRPr="00D03C63" w:rsidRDefault="00D03C63" w:rsidP="0054100C">
      <w:pPr>
        <w:pStyle w:val="Caption"/>
        <w:rPr>
          <w:rFonts w:asciiTheme="minorHAnsi" w:hAnsiTheme="minorHAnsi" w:cstheme="minorHAnsi"/>
          <w:sz w:val="22"/>
          <w:szCs w:val="22"/>
        </w:rPr>
      </w:pPr>
      <w:r w:rsidRPr="00D03C63">
        <w:rPr>
          <w:noProof/>
          <w:lang w:eastAsia="hr-HR"/>
        </w:rPr>
        <w:drawing>
          <wp:inline distT="0" distB="0" distL="0" distR="0" wp14:anchorId="38D32010" wp14:editId="1681CF52">
            <wp:extent cx="5759450" cy="2221197"/>
            <wp:effectExtent l="0" t="0" r="0" b="825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221197"/>
                    </a:xfrm>
                    <a:prstGeom prst="rect">
                      <a:avLst/>
                    </a:prstGeom>
                    <a:noFill/>
                    <a:ln>
                      <a:noFill/>
                    </a:ln>
                  </pic:spPr>
                </pic:pic>
              </a:graphicData>
            </a:graphic>
          </wp:inline>
        </w:drawing>
      </w:r>
    </w:p>
    <w:p w:rsidR="0054100C" w:rsidRPr="00E671B1" w:rsidRDefault="0054100C" w:rsidP="0054100C">
      <w:pPr>
        <w:spacing w:after="0" w:line="240" w:lineRule="auto"/>
        <w:rPr>
          <w:rFonts w:cstheme="minorHAnsi"/>
          <w:i/>
          <w:lang w:val="hr-HR"/>
        </w:rPr>
      </w:pPr>
      <w:r w:rsidRPr="00D03C63">
        <w:rPr>
          <w:rFonts w:cstheme="minorHAnsi"/>
          <w:i/>
          <w:lang w:val="hr-HR"/>
        </w:rPr>
        <w:t>Izvor: Ministarstvo financija</w:t>
      </w:r>
    </w:p>
    <w:p w:rsidR="0054100C" w:rsidRPr="00AC1D21" w:rsidRDefault="0054100C" w:rsidP="0054100C">
      <w:pPr>
        <w:spacing w:after="0" w:line="240" w:lineRule="auto"/>
        <w:jc w:val="both"/>
        <w:rPr>
          <w:rFonts w:cstheme="minorHAnsi"/>
          <w:highlight w:val="yellow"/>
          <w:lang w:val="hr-HR"/>
        </w:rPr>
      </w:pPr>
    </w:p>
    <w:p w:rsidR="0054100C" w:rsidRPr="0054100C" w:rsidRDefault="0054100C" w:rsidP="00F97CF8">
      <w:pPr>
        <w:jc w:val="both"/>
        <w:rPr>
          <w:rFonts w:cstheme="minorHAnsi"/>
          <w:lang w:val="hr-HR"/>
        </w:rPr>
      </w:pPr>
      <w:r>
        <w:rPr>
          <w:rFonts w:cstheme="minorHAnsi"/>
          <w:lang w:val="hr-HR"/>
        </w:rPr>
        <w:br w:type="page"/>
      </w:r>
    </w:p>
    <w:p w:rsidR="00462EC5" w:rsidRPr="0054100C" w:rsidRDefault="00462EC5" w:rsidP="0054100C">
      <w:pPr>
        <w:pStyle w:val="Heading1"/>
        <w:numPr>
          <w:ilvl w:val="0"/>
          <w:numId w:val="1"/>
        </w:numPr>
        <w:rPr>
          <w:lang w:val="hr-HR"/>
        </w:rPr>
      </w:pPr>
      <w:bookmarkStart w:id="16" w:name="_Toc210305055"/>
      <w:r w:rsidRPr="009B5CBF">
        <w:rPr>
          <w:lang w:val="hr-HR"/>
        </w:rPr>
        <w:lastRenderedPageBreak/>
        <w:t>UKUPNI MANJAK DRŽAVNOG PRORAČUNA</w:t>
      </w:r>
      <w:bookmarkEnd w:id="16"/>
    </w:p>
    <w:p w:rsidR="00F03436" w:rsidRPr="00F03436" w:rsidRDefault="00F03436" w:rsidP="00F03436">
      <w:pPr>
        <w:spacing w:before="240"/>
        <w:jc w:val="both"/>
        <w:rPr>
          <w:rFonts w:cs="Times New Roman"/>
          <w:lang w:val="hr-HR"/>
        </w:rPr>
      </w:pPr>
      <w:r w:rsidRPr="00F03436">
        <w:rPr>
          <w:rFonts w:cs="Times New Roman"/>
          <w:lang w:val="hr-HR"/>
        </w:rPr>
        <w:t xml:space="preserve">Slijedom ukupno planiranih prihoda u iznosu od </w:t>
      </w:r>
      <w:r w:rsidR="00AC0463">
        <w:rPr>
          <w:rFonts w:cs="Times New Roman"/>
          <w:lang w:val="hr-HR"/>
        </w:rPr>
        <w:t>33</w:t>
      </w:r>
      <w:r w:rsidRPr="00F03436">
        <w:rPr>
          <w:rFonts w:cs="Times New Roman"/>
          <w:lang w:val="hr-HR"/>
        </w:rPr>
        <w:t xml:space="preserve"> milijardi eura te ukupno planiranih rashoda u iznosu od </w:t>
      </w:r>
      <w:r w:rsidR="00AC0463">
        <w:rPr>
          <w:rFonts w:cs="Times New Roman"/>
          <w:lang w:val="hr-HR"/>
        </w:rPr>
        <w:t>36,8</w:t>
      </w:r>
      <w:r w:rsidRPr="00F03436">
        <w:rPr>
          <w:rFonts w:cs="Times New Roman"/>
          <w:lang w:val="hr-HR"/>
        </w:rPr>
        <w:t xml:space="preserve"> milijardi eura, manjak državnog proračuna za 202</w:t>
      </w:r>
      <w:r w:rsidR="00AC0463">
        <w:rPr>
          <w:rFonts w:cs="Times New Roman"/>
          <w:lang w:val="hr-HR"/>
        </w:rPr>
        <w:t>5</w:t>
      </w:r>
      <w:r w:rsidRPr="00F03436">
        <w:rPr>
          <w:rFonts w:cs="Times New Roman"/>
          <w:lang w:val="hr-HR"/>
        </w:rPr>
        <w:t xml:space="preserve">. godinu planiran je u iznosu od </w:t>
      </w:r>
      <w:r w:rsidR="007D4EC4">
        <w:rPr>
          <w:rFonts w:cs="Times New Roman"/>
          <w:lang w:val="hr-HR"/>
        </w:rPr>
        <w:t>3,</w:t>
      </w:r>
      <w:r w:rsidR="00AC0463">
        <w:rPr>
          <w:rFonts w:cs="Times New Roman"/>
          <w:lang w:val="hr-HR"/>
        </w:rPr>
        <w:t>8</w:t>
      </w:r>
      <w:r w:rsidRPr="00F03436">
        <w:rPr>
          <w:rFonts w:cs="Times New Roman"/>
          <w:lang w:val="hr-HR"/>
        </w:rPr>
        <w:t xml:space="preserve"> milijardi eura ili </w:t>
      </w:r>
      <w:r w:rsidR="00AC0463">
        <w:rPr>
          <w:rFonts w:cs="Times New Roman"/>
          <w:lang w:val="hr-HR"/>
        </w:rPr>
        <w:t>4,2</w:t>
      </w:r>
      <w:r w:rsidRPr="00F03436">
        <w:rPr>
          <w:rFonts w:cs="Times New Roman"/>
          <w:lang w:val="hr-HR"/>
        </w:rPr>
        <w:t xml:space="preserve">% BDP-a, što predstavlja </w:t>
      </w:r>
      <w:r w:rsidR="007D4EC4">
        <w:rPr>
          <w:rFonts w:cs="Times New Roman"/>
          <w:lang w:val="hr-HR"/>
        </w:rPr>
        <w:t xml:space="preserve">smanjenje manjka </w:t>
      </w:r>
      <w:r w:rsidRPr="00F03436">
        <w:rPr>
          <w:rFonts w:cs="Times New Roman"/>
          <w:lang w:val="hr-HR"/>
        </w:rPr>
        <w:t xml:space="preserve">od </w:t>
      </w:r>
      <w:r w:rsidR="00AC0463">
        <w:rPr>
          <w:rFonts w:cs="Times New Roman"/>
          <w:lang w:val="hr-HR"/>
        </w:rPr>
        <w:t>253</w:t>
      </w:r>
      <w:r w:rsidR="005432B2">
        <w:rPr>
          <w:rFonts w:cs="Times New Roman"/>
          <w:lang w:val="hr-HR"/>
        </w:rPr>
        <w:t xml:space="preserve"> milijuna eura</w:t>
      </w:r>
      <w:r w:rsidRPr="00F03436">
        <w:rPr>
          <w:rFonts w:cs="Times New Roman"/>
          <w:lang w:val="hr-HR"/>
        </w:rPr>
        <w:t xml:space="preserve"> u odnosu na originalni plan.</w:t>
      </w:r>
    </w:p>
    <w:p w:rsidR="00796C59" w:rsidRPr="003B24C8" w:rsidRDefault="00796C59" w:rsidP="006E0462">
      <w:pPr>
        <w:pStyle w:val="Caption"/>
        <w:spacing w:before="240" w:after="120"/>
        <w:jc w:val="both"/>
        <w:rPr>
          <w:rFonts w:asciiTheme="minorHAnsi" w:hAnsiTheme="minorHAnsi"/>
          <w:b w:val="0"/>
          <w:i/>
          <w:sz w:val="22"/>
          <w:szCs w:val="22"/>
        </w:rPr>
      </w:pPr>
      <w:r w:rsidRPr="003B24C8">
        <w:rPr>
          <w:rFonts w:asciiTheme="minorHAnsi" w:hAnsiTheme="minorHAnsi"/>
          <w:b w:val="0"/>
          <w:i/>
          <w:sz w:val="22"/>
          <w:szCs w:val="22"/>
        </w:rPr>
        <w:t xml:space="preserve">Tablica </w:t>
      </w:r>
      <w:r w:rsidR="00F03484">
        <w:rPr>
          <w:rFonts w:asciiTheme="minorHAnsi" w:hAnsiTheme="minorHAnsi"/>
          <w:b w:val="0"/>
          <w:i/>
          <w:sz w:val="22"/>
          <w:szCs w:val="22"/>
        </w:rPr>
        <w:t>6</w:t>
      </w:r>
      <w:r w:rsidRPr="003B24C8">
        <w:rPr>
          <w:rFonts w:asciiTheme="minorHAnsi" w:hAnsiTheme="minorHAnsi"/>
          <w:b w:val="0"/>
          <w:i/>
          <w:sz w:val="22"/>
          <w:szCs w:val="22"/>
        </w:rPr>
        <w:t>. Ukupni manjak državnog proračuna</w:t>
      </w:r>
    </w:p>
    <w:p w:rsidR="0006121D" w:rsidRPr="003B24C8" w:rsidRDefault="00370E35" w:rsidP="0006121D">
      <w:pPr>
        <w:spacing w:after="0"/>
        <w:rPr>
          <w:noProof/>
          <w:lang w:val="hr-HR" w:eastAsia="hr-HR"/>
        </w:rPr>
      </w:pPr>
      <w:r w:rsidRPr="00370E35">
        <w:rPr>
          <w:noProof/>
          <w:lang w:val="hr-HR" w:eastAsia="hr-HR"/>
        </w:rPr>
        <w:drawing>
          <wp:inline distT="0" distB="0" distL="0" distR="0">
            <wp:extent cx="5936540" cy="1806855"/>
            <wp:effectExtent l="0" t="0" r="7620" b="317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6480" cy="1812924"/>
                    </a:xfrm>
                    <a:prstGeom prst="rect">
                      <a:avLst/>
                    </a:prstGeom>
                    <a:noFill/>
                    <a:ln>
                      <a:noFill/>
                    </a:ln>
                  </pic:spPr>
                </pic:pic>
              </a:graphicData>
            </a:graphic>
          </wp:inline>
        </w:drawing>
      </w:r>
    </w:p>
    <w:p w:rsidR="00462EC5" w:rsidRDefault="00462EC5" w:rsidP="006E0462">
      <w:pPr>
        <w:jc w:val="both"/>
        <w:rPr>
          <w:rFonts w:cs="Times New Roman"/>
          <w:i/>
          <w:color w:val="000000"/>
          <w:lang w:val="hr-HR"/>
        </w:rPr>
      </w:pPr>
      <w:r w:rsidRPr="003B24C8">
        <w:rPr>
          <w:rFonts w:cs="Times New Roman"/>
          <w:i/>
          <w:color w:val="000000"/>
          <w:lang w:val="hr-HR"/>
        </w:rPr>
        <w:t>Izvor: Ministarstvo financija</w:t>
      </w:r>
    </w:p>
    <w:p w:rsidR="007D3532" w:rsidRDefault="007D3532" w:rsidP="006E0462">
      <w:pPr>
        <w:jc w:val="both"/>
        <w:rPr>
          <w:rFonts w:cs="Times New Roman"/>
          <w:i/>
          <w:color w:val="000000"/>
          <w:lang w:val="hr-HR"/>
        </w:rPr>
      </w:pPr>
    </w:p>
    <w:p w:rsidR="007D3532" w:rsidRPr="009B5CBF" w:rsidRDefault="007D3532" w:rsidP="006E0462">
      <w:pPr>
        <w:jc w:val="both"/>
        <w:rPr>
          <w:rFonts w:cs="Times New Roman"/>
          <w:i/>
          <w:color w:val="000000"/>
          <w:lang w:val="hr-HR"/>
        </w:rPr>
      </w:pPr>
    </w:p>
    <w:p w:rsidR="00A461B3" w:rsidRPr="006C489E" w:rsidRDefault="00462EC5" w:rsidP="00A461B3">
      <w:pPr>
        <w:rPr>
          <w:lang w:val="hr-HR"/>
        </w:rPr>
      </w:pPr>
      <w:r w:rsidRPr="009B5CBF">
        <w:rPr>
          <w:lang w:val="hr-HR"/>
        </w:rPr>
        <w:br w:type="page"/>
      </w:r>
    </w:p>
    <w:p w:rsidR="00DC5CAF" w:rsidRPr="00425A50" w:rsidRDefault="00DC5CAF" w:rsidP="00462EC5">
      <w:pPr>
        <w:pStyle w:val="Heading1"/>
        <w:numPr>
          <w:ilvl w:val="0"/>
          <w:numId w:val="1"/>
        </w:numPr>
        <w:rPr>
          <w:lang w:val="hr-HR"/>
        </w:rPr>
      </w:pPr>
      <w:bookmarkStart w:id="17" w:name="_Toc210305056"/>
      <w:r w:rsidRPr="00425A50">
        <w:rPr>
          <w:lang w:val="hr-HR"/>
        </w:rPr>
        <w:lastRenderedPageBreak/>
        <w:t>RAČUN FINANCIRANJA DRŽAVNOG PRORAČUNA</w:t>
      </w:r>
      <w:bookmarkEnd w:id="17"/>
    </w:p>
    <w:p w:rsidR="00B6674E" w:rsidRPr="00C16617" w:rsidRDefault="00B6674E" w:rsidP="00AF233C">
      <w:pPr>
        <w:rPr>
          <w:highlight w:val="yellow"/>
          <w:lang w:val="hr-HR"/>
        </w:rPr>
      </w:pPr>
    </w:p>
    <w:p w:rsidR="00425A50" w:rsidRDefault="00425A50" w:rsidP="00425A50">
      <w:pPr>
        <w:jc w:val="both"/>
        <w:rPr>
          <w:rFonts w:cstheme="minorHAnsi"/>
          <w:lang w:val="hr-HR"/>
        </w:rPr>
      </w:pPr>
      <w:r w:rsidRPr="001256B4">
        <w:rPr>
          <w:rFonts w:cstheme="minorHAnsi"/>
          <w:lang w:val="hr-HR"/>
        </w:rPr>
        <w:t xml:space="preserve">U Izmjenama i dopunama </w:t>
      </w:r>
      <w:r w:rsidR="00ED02C7">
        <w:rPr>
          <w:rFonts w:cstheme="minorHAnsi"/>
          <w:lang w:val="hr-HR"/>
        </w:rPr>
        <w:t xml:space="preserve">Državnog proračuna za 2025. godinu </w:t>
      </w:r>
      <w:r w:rsidRPr="001256B4">
        <w:rPr>
          <w:rFonts w:cstheme="minorHAnsi"/>
          <w:lang w:val="hr-HR"/>
        </w:rPr>
        <w:t>planiran je manjak državnog proračuna u iznosu od 3,8 milijarde eura, što je za 253,4 milijuna eura manje u odnosu na iznos manjka</w:t>
      </w:r>
      <w:r w:rsidR="00ED02C7">
        <w:rPr>
          <w:rFonts w:cstheme="minorHAnsi"/>
          <w:lang w:val="hr-HR"/>
        </w:rPr>
        <w:t xml:space="preserve"> </w:t>
      </w:r>
      <w:r w:rsidRPr="001256B4">
        <w:rPr>
          <w:rFonts w:cstheme="minorHAnsi"/>
          <w:lang w:val="hr-HR"/>
        </w:rPr>
        <w:t xml:space="preserve">planiran u Državnom proračunu za 2025. godinu. Planirani manjak financirat će se razlikom ukupnih primitaka od financijske imovine i zaduživanja te ukupnih izdataka za financijsku imovinu i otplate zajmova te prenesenih sredstava iz prethodne godine. </w:t>
      </w:r>
    </w:p>
    <w:p w:rsidR="00425A50" w:rsidRPr="001256B4" w:rsidRDefault="00425A50" w:rsidP="00425A50">
      <w:pPr>
        <w:jc w:val="both"/>
        <w:rPr>
          <w:rFonts w:cstheme="minorHAnsi"/>
          <w:lang w:val="hr-HR"/>
        </w:rPr>
      </w:pPr>
      <w:r w:rsidRPr="001256B4">
        <w:rPr>
          <w:rFonts w:cstheme="minorHAnsi"/>
          <w:lang w:val="hr-HR"/>
        </w:rPr>
        <w:t>Ukupni primici od financijske imovine i zaduživanja planiraju se u iznosu od 9,3 milijarde eura, od čega primljeni povrati glavnica danih zajmova iznose 312,7 milijuna eura, primici od izdanih financijskih instrumenata - vrijednosnih papira 8,1 milijardu eura, primici od prodaje financijskih instrumenata – dionica i udjela u glavnici 7,0 milijuna eura te primici od zaduživanja 882,7 milijuna eura.</w:t>
      </w:r>
    </w:p>
    <w:p w:rsidR="00425A50" w:rsidRPr="001256B4" w:rsidRDefault="00425A50" w:rsidP="00425A50">
      <w:pPr>
        <w:jc w:val="both"/>
        <w:rPr>
          <w:rFonts w:cstheme="minorHAnsi"/>
          <w:lang w:val="hr-HR"/>
        </w:rPr>
      </w:pPr>
      <w:r w:rsidRPr="001256B4">
        <w:rPr>
          <w:rFonts w:cstheme="minorHAnsi"/>
          <w:lang w:val="hr-HR"/>
        </w:rPr>
        <w:t>Plan ukupnih primitaka od financijske imovine i zaduživanja poveća</w:t>
      </w:r>
      <w:r w:rsidR="00ED02C7">
        <w:rPr>
          <w:rFonts w:cstheme="minorHAnsi"/>
          <w:lang w:val="hr-HR"/>
        </w:rPr>
        <w:t xml:space="preserve">va se za 402,2 milijuna. </w:t>
      </w:r>
      <w:r w:rsidRPr="001256B4">
        <w:rPr>
          <w:rFonts w:cstheme="minorHAnsi"/>
          <w:lang w:val="hr-HR"/>
        </w:rPr>
        <w:t xml:space="preserve">Navedeno je rezultat povećanja primitaka od izdanih </w:t>
      </w:r>
      <w:r>
        <w:rPr>
          <w:rFonts w:cstheme="minorHAnsi"/>
          <w:lang w:val="hr-HR"/>
        </w:rPr>
        <w:t xml:space="preserve">financijskih </w:t>
      </w:r>
      <w:r w:rsidRPr="001256B4">
        <w:rPr>
          <w:rFonts w:cstheme="minorHAnsi"/>
          <w:lang w:val="hr-HR"/>
        </w:rPr>
        <w:t xml:space="preserve">instrumenata – vrijednosnih papira u iznosu od 1,6 milijarde eura te povećanja primljenih povrata glavnica danih zajmova u iznosu od 127,4 milijuna eura uz istovremeno smanjenje primitaka od zaduživanja u iznosu od 1,3 milijarde eura. </w:t>
      </w:r>
    </w:p>
    <w:p w:rsidR="00425A50" w:rsidRPr="001256B4" w:rsidRDefault="00425A50" w:rsidP="00425A50">
      <w:pPr>
        <w:jc w:val="both"/>
        <w:rPr>
          <w:rFonts w:cstheme="minorHAnsi"/>
          <w:lang w:val="hr-HR"/>
        </w:rPr>
      </w:pPr>
      <w:r w:rsidRPr="001256B4">
        <w:rPr>
          <w:rFonts w:cstheme="minorHAnsi"/>
          <w:lang w:val="hr-HR"/>
        </w:rPr>
        <w:t xml:space="preserve">Ukupni izdaci za financijsku imovinu i otplate zajmova planirani su u iznosu 6,6 milijardi eura, od čega su izdaci za dane zajmove i </w:t>
      </w:r>
      <w:proofErr w:type="spellStart"/>
      <w:r w:rsidRPr="001256B4">
        <w:rPr>
          <w:rFonts w:cstheme="minorHAnsi"/>
          <w:lang w:val="hr-HR"/>
        </w:rPr>
        <w:t>jamčevne</w:t>
      </w:r>
      <w:proofErr w:type="spellEnd"/>
      <w:r w:rsidRPr="001256B4">
        <w:rPr>
          <w:rFonts w:cstheme="minorHAnsi"/>
          <w:lang w:val="hr-HR"/>
        </w:rPr>
        <w:t xml:space="preserve"> </w:t>
      </w:r>
      <w:proofErr w:type="spellStart"/>
      <w:r w:rsidRPr="001256B4">
        <w:rPr>
          <w:rFonts w:cstheme="minorHAnsi"/>
          <w:lang w:val="hr-HR"/>
        </w:rPr>
        <w:t>pologe</w:t>
      </w:r>
      <w:proofErr w:type="spellEnd"/>
      <w:r w:rsidRPr="001256B4">
        <w:rPr>
          <w:rFonts w:cstheme="minorHAnsi"/>
          <w:lang w:val="hr-HR"/>
        </w:rPr>
        <w:t xml:space="preserve"> planirani u iznosu od 164,5 milijuna eura, izdaci za ulaganja u financijske instrumente – vrijednosne papire u iznosu od 10,0 milijuna eura, izdaci za ulaganja u financijske instrumente - dionice i udjele u glavnici u iznosu od 145,8 milijuna eura, izdaci za otplatu glavnice primljenih kredita i zajmova u iznosu od 1,5 milijarde eura te izdaci za otplatu glavnice za izdane financijske instrumente - vrijednosne papire u iznosu od 4,8 milijardi eura. Plan ukupnih izdataka za financijsku imovinu i otplate zajmova smanjuje se za 152,9 milijuna eura što je rezultat smanjenja planiranih izdataka za dane zajmove i </w:t>
      </w:r>
      <w:proofErr w:type="spellStart"/>
      <w:r w:rsidRPr="001256B4">
        <w:rPr>
          <w:rFonts w:cstheme="minorHAnsi"/>
          <w:lang w:val="hr-HR"/>
        </w:rPr>
        <w:t>jamčevne</w:t>
      </w:r>
      <w:proofErr w:type="spellEnd"/>
      <w:r w:rsidRPr="001256B4">
        <w:rPr>
          <w:rFonts w:cstheme="minorHAnsi"/>
          <w:lang w:val="hr-HR"/>
        </w:rPr>
        <w:t xml:space="preserve"> </w:t>
      </w:r>
      <w:proofErr w:type="spellStart"/>
      <w:r w:rsidRPr="001256B4">
        <w:rPr>
          <w:rFonts w:cstheme="minorHAnsi"/>
          <w:lang w:val="hr-HR"/>
        </w:rPr>
        <w:t>pologe</w:t>
      </w:r>
      <w:proofErr w:type="spellEnd"/>
      <w:r w:rsidRPr="001256B4">
        <w:rPr>
          <w:rFonts w:cstheme="minorHAnsi"/>
          <w:lang w:val="hr-HR"/>
        </w:rPr>
        <w:t xml:space="preserve"> u iznosu od 29,0 milijuna eura i izdataka za otplatu glavnice primljenih kredita i zajmova u iznosu od 146,8 milijuna eura uz istovremeno povećanje izdataka za ulaganja u financijske instrumente - dionice i udjele u glavnici u iznosu od 22,9 milijuna eura.</w:t>
      </w:r>
    </w:p>
    <w:p w:rsidR="00425A50" w:rsidRPr="001256B4" w:rsidRDefault="00425A50" w:rsidP="00425A50">
      <w:pPr>
        <w:jc w:val="both"/>
        <w:rPr>
          <w:rFonts w:cstheme="minorHAnsi"/>
          <w:lang w:val="hr-HR"/>
        </w:rPr>
      </w:pPr>
      <w:r w:rsidRPr="001256B4">
        <w:rPr>
          <w:rFonts w:cstheme="minorHAnsi"/>
          <w:lang w:val="hr-HR"/>
        </w:rPr>
        <w:t>Zatvarajuća stavka između ukupnih primitaka od financijske imovine i zaduživanja, ukupnih izdataka za financijsku imovinu i otplate zajmova te ukupnog manjka državnog proračuna jest razlika između prijenosa sredstava iz prethodne godine i prijenosa sredstava u sljedeće razdoblje.</w:t>
      </w:r>
    </w:p>
    <w:p w:rsidR="00967A84" w:rsidRPr="00C16617" w:rsidRDefault="00967A84" w:rsidP="00B6674E">
      <w:pPr>
        <w:pStyle w:val="Caption"/>
        <w:spacing w:before="240" w:after="120"/>
        <w:jc w:val="both"/>
        <w:rPr>
          <w:rFonts w:asciiTheme="minorHAnsi" w:hAnsiTheme="minorHAnsi" w:cstheme="minorHAnsi"/>
          <w:b w:val="0"/>
          <w:i/>
          <w:sz w:val="22"/>
          <w:szCs w:val="22"/>
          <w:highlight w:val="yellow"/>
        </w:rPr>
      </w:pPr>
    </w:p>
    <w:p w:rsidR="00967A84" w:rsidRPr="00C16617" w:rsidRDefault="00967A84" w:rsidP="00B6674E">
      <w:pPr>
        <w:pStyle w:val="Caption"/>
        <w:spacing w:before="240" w:after="120"/>
        <w:jc w:val="both"/>
        <w:rPr>
          <w:rFonts w:asciiTheme="minorHAnsi" w:hAnsiTheme="minorHAnsi" w:cstheme="minorHAnsi"/>
          <w:b w:val="0"/>
          <w:i/>
          <w:sz w:val="22"/>
          <w:szCs w:val="22"/>
          <w:highlight w:val="yellow"/>
        </w:rPr>
      </w:pPr>
    </w:p>
    <w:p w:rsidR="00967A84" w:rsidRPr="00C16617" w:rsidRDefault="00967A84" w:rsidP="00B6674E">
      <w:pPr>
        <w:pStyle w:val="Caption"/>
        <w:spacing w:before="240" w:after="120"/>
        <w:jc w:val="both"/>
        <w:rPr>
          <w:rFonts w:asciiTheme="minorHAnsi" w:hAnsiTheme="minorHAnsi" w:cstheme="minorHAnsi"/>
          <w:b w:val="0"/>
          <w:i/>
          <w:sz w:val="22"/>
          <w:szCs w:val="22"/>
          <w:highlight w:val="yellow"/>
        </w:rPr>
      </w:pPr>
    </w:p>
    <w:p w:rsidR="00CD2526" w:rsidRPr="00C16617" w:rsidRDefault="00CD2526" w:rsidP="00B6674E">
      <w:pPr>
        <w:pStyle w:val="Caption"/>
        <w:spacing w:before="240" w:after="120"/>
        <w:jc w:val="both"/>
        <w:rPr>
          <w:rFonts w:asciiTheme="minorHAnsi" w:hAnsiTheme="minorHAnsi" w:cstheme="minorHAnsi"/>
          <w:b w:val="0"/>
          <w:i/>
          <w:sz w:val="22"/>
          <w:szCs w:val="22"/>
          <w:highlight w:val="yellow"/>
        </w:rPr>
      </w:pPr>
    </w:p>
    <w:p w:rsidR="004D7F5F" w:rsidRPr="00C16617" w:rsidRDefault="004D7F5F" w:rsidP="004D7F5F">
      <w:pPr>
        <w:rPr>
          <w:highlight w:val="yellow"/>
          <w:lang w:val="hr-HR"/>
        </w:rPr>
      </w:pPr>
    </w:p>
    <w:p w:rsidR="004D7F5F" w:rsidRPr="00C16617" w:rsidRDefault="004D7F5F" w:rsidP="004D7F5F">
      <w:pPr>
        <w:rPr>
          <w:highlight w:val="yellow"/>
          <w:lang w:val="hr-HR"/>
        </w:rPr>
      </w:pPr>
    </w:p>
    <w:p w:rsidR="00ED02C7" w:rsidRDefault="00ED02C7" w:rsidP="00B6674E">
      <w:pPr>
        <w:pStyle w:val="Caption"/>
        <w:spacing w:before="240" w:after="120"/>
        <w:jc w:val="both"/>
        <w:rPr>
          <w:rFonts w:asciiTheme="minorHAnsi" w:hAnsiTheme="minorHAnsi" w:cstheme="minorHAnsi"/>
          <w:b w:val="0"/>
          <w:i/>
          <w:sz w:val="22"/>
          <w:szCs w:val="22"/>
        </w:rPr>
      </w:pPr>
    </w:p>
    <w:p w:rsidR="00B6674E" w:rsidRPr="00425A50" w:rsidRDefault="00F03484" w:rsidP="00B6674E">
      <w:pPr>
        <w:pStyle w:val="Caption"/>
        <w:spacing w:before="240" w:after="120"/>
        <w:jc w:val="both"/>
        <w:rPr>
          <w:rFonts w:asciiTheme="minorHAnsi" w:hAnsiTheme="minorHAnsi" w:cstheme="minorHAnsi"/>
          <w:b w:val="0"/>
          <w:i/>
          <w:sz w:val="22"/>
          <w:szCs w:val="22"/>
        </w:rPr>
      </w:pPr>
      <w:r w:rsidRPr="00425A50">
        <w:rPr>
          <w:rFonts w:asciiTheme="minorHAnsi" w:hAnsiTheme="minorHAnsi" w:cstheme="minorHAnsi"/>
          <w:b w:val="0"/>
          <w:i/>
          <w:sz w:val="22"/>
          <w:szCs w:val="22"/>
        </w:rPr>
        <w:lastRenderedPageBreak/>
        <w:t>Tablica 7</w:t>
      </w:r>
      <w:r w:rsidR="00B6674E" w:rsidRPr="00425A50">
        <w:rPr>
          <w:rFonts w:asciiTheme="minorHAnsi" w:hAnsiTheme="minorHAnsi" w:cstheme="minorHAnsi"/>
          <w:b w:val="0"/>
          <w:i/>
          <w:sz w:val="22"/>
          <w:szCs w:val="22"/>
        </w:rPr>
        <w:t>. Ukupni prihodi, rashodi i financiranje državnog proračuna</w:t>
      </w:r>
    </w:p>
    <w:p w:rsidR="00B6674E" w:rsidRPr="00425A50" w:rsidRDefault="00425A50" w:rsidP="002D1818">
      <w:pPr>
        <w:spacing w:after="120"/>
        <w:rPr>
          <w:rFonts w:cstheme="minorHAnsi"/>
          <w:lang w:val="hr-HR"/>
        </w:rPr>
      </w:pPr>
      <w:r w:rsidRPr="00425A50">
        <w:rPr>
          <w:noProof/>
          <w:lang w:val="hr-HR" w:eastAsia="hr-HR"/>
        </w:rPr>
        <w:drawing>
          <wp:inline distT="0" distB="0" distL="0" distR="0" wp14:anchorId="0478B97E" wp14:editId="2670BA5E">
            <wp:extent cx="5760720" cy="2302510"/>
            <wp:effectExtent l="0" t="0" r="0" b="254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302510"/>
                    </a:xfrm>
                    <a:prstGeom prst="rect">
                      <a:avLst/>
                    </a:prstGeom>
                    <a:noFill/>
                    <a:ln>
                      <a:noFill/>
                    </a:ln>
                  </pic:spPr>
                </pic:pic>
              </a:graphicData>
            </a:graphic>
          </wp:inline>
        </w:drawing>
      </w:r>
    </w:p>
    <w:p w:rsidR="00B6674E" w:rsidRPr="00B6674E" w:rsidRDefault="00B6674E" w:rsidP="00B6674E">
      <w:pPr>
        <w:jc w:val="both"/>
        <w:rPr>
          <w:rFonts w:cstheme="minorHAnsi"/>
          <w:i/>
          <w:lang w:val="hr-HR"/>
        </w:rPr>
      </w:pPr>
      <w:r w:rsidRPr="00425A50">
        <w:rPr>
          <w:rFonts w:cstheme="minorHAnsi"/>
          <w:i/>
          <w:lang w:val="hr-HR"/>
        </w:rPr>
        <w:t>Izvor: Ministarstvo financija</w:t>
      </w:r>
    </w:p>
    <w:p w:rsidR="00F6029A" w:rsidRDefault="00F6029A">
      <w:pPr>
        <w:rPr>
          <w:rFonts w:asciiTheme="majorHAnsi" w:eastAsiaTheme="majorEastAsia" w:hAnsiTheme="majorHAnsi" w:cstheme="majorBidi"/>
          <w:b/>
          <w:bCs/>
          <w:color w:val="365F91" w:themeColor="accent1" w:themeShade="BF"/>
          <w:sz w:val="28"/>
          <w:szCs w:val="28"/>
          <w:lang w:val="hr-HR"/>
        </w:rPr>
      </w:pPr>
      <w:r>
        <w:rPr>
          <w:lang w:val="hr-HR"/>
        </w:rPr>
        <w:br w:type="page"/>
      </w:r>
    </w:p>
    <w:p w:rsidR="00025948" w:rsidRPr="009B5CBF" w:rsidRDefault="00025948" w:rsidP="00462EC5">
      <w:pPr>
        <w:pStyle w:val="Heading1"/>
        <w:numPr>
          <w:ilvl w:val="0"/>
          <w:numId w:val="1"/>
        </w:numPr>
        <w:rPr>
          <w:lang w:val="hr-HR"/>
        </w:rPr>
      </w:pPr>
      <w:bookmarkStart w:id="18" w:name="_Toc210305057"/>
      <w:r w:rsidRPr="009B5CBF">
        <w:rPr>
          <w:lang w:val="hr-HR"/>
        </w:rPr>
        <w:lastRenderedPageBreak/>
        <w:t>PROCJENA UKUPNOG MANJKA PRORAČUNA OPĆE DRŽAVE</w:t>
      </w:r>
      <w:bookmarkEnd w:id="18"/>
      <w:r w:rsidRPr="009B5CBF">
        <w:rPr>
          <w:lang w:val="hr-HR"/>
        </w:rPr>
        <w:t xml:space="preserve"> </w:t>
      </w:r>
    </w:p>
    <w:p w:rsidR="001628CF" w:rsidRDefault="001628CF" w:rsidP="00025948">
      <w:pPr>
        <w:jc w:val="both"/>
        <w:rPr>
          <w:rFonts w:cs="Times New Roman"/>
          <w:lang w:val="hr-HR"/>
        </w:rPr>
      </w:pPr>
    </w:p>
    <w:p w:rsidR="003955B2" w:rsidRPr="003955B2" w:rsidRDefault="003955B2" w:rsidP="003955B2">
      <w:pPr>
        <w:jc w:val="both"/>
        <w:rPr>
          <w:rFonts w:cs="Times New Roman"/>
          <w:lang w:val="hr-HR"/>
        </w:rPr>
      </w:pPr>
      <w:r w:rsidRPr="003955B2">
        <w:rPr>
          <w:rFonts w:cs="Times New Roman"/>
          <w:lang w:val="hr-HR"/>
        </w:rPr>
        <w:t>Novim planom u 202</w:t>
      </w:r>
      <w:r w:rsidR="008221E6">
        <w:rPr>
          <w:rFonts w:cs="Times New Roman"/>
          <w:lang w:val="hr-HR"/>
        </w:rPr>
        <w:t>5</w:t>
      </w:r>
      <w:r w:rsidRPr="003955B2">
        <w:rPr>
          <w:rFonts w:cs="Times New Roman"/>
          <w:lang w:val="hr-HR"/>
        </w:rPr>
        <w:t xml:space="preserve">. godini opći proračun prema nacionalnoj metodologiji ostvaruje manjak od </w:t>
      </w:r>
      <w:r w:rsidR="00CB292E">
        <w:rPr>
          <w:rFonts w:cs="Times New Roman"/>
          <w:lang w:val="hr-HR"/>
        </w:rPr>
        <w:t>4</w:t>
      </w:r>
      <w:r w:rsidRPr="003955B2">
        <w:rPr>
          <w:rFonts w:cs="Times New Roman"/>
          <w:lang w:val="hr-HR"/>
        </w:rPr>
        <w:t xml:space="preserve"> milijard</w:t>
      </w:r>
      <w:r w:rsidR="00CB292E">
        <w:rPr>
          <w:rFonts w:cs="Times New Roman"/>
          <w:lang w:val="hr-HR"/>
        </w:rPr>
        <w:t>i</w:t>
      </w:r>
      <w:r w:rsidRPr="003955B2">
        <w:rPr>
          <w:rFonts w:cs="Times New Roman"/>
          <w:lang w:val="hr-HR"/>
        </w:rPr>
        <w:t xml:space="preserve"> eura, što predstavlja </w:t>
      </w:r>
      <w:r w:rsidR="008221E6">
        <w:rPr>
          <w:rFonts w:cs="Times New Roman"/>
          <w:lang w:val="hr-HR"/>
        </w:rPr>
        <w:t>4</w:t>
      </w:r>
      <w:r w:rsidR="005E6607">
        <w:rPr>
          <w:rFonts w:cs="Times New Roman"/>
          <w:lang w:val="hr-HR"/>
        </w:rPr>
        <w:t>,</w:t>
      </w:r>
      <w:r w:rsidR="00CB292E">
        <w:rPr>
          <w:rFonts w:cs="Times New Roman"/>
          <w:lang w:val="hr-HR"/>
        </w:rPr>
        <w:t>4</w:t>
      </w:r>
      <w:r w:rsidRPr="003955B2">
        <w:rPr>
          <w:rFonts w:cs="Times New Roman"/>
          <w:lang w:val="hr-HR"/>
        </w:rPr>
        <w:t xml:space="preserve">% BDP-a. Pritom državni proračun bilježi razinu manjka od </w:t>
      </w:r>
      <w:r w:rsidR="008221E6">
        <w:rPr>
          <w:rFonts w:cs="Times New Roman"/>
          <w:lang w:val="hr-HR"/>
        </w:rPr>
        <w:t>4,2</w:t>
      </w:r>
      <w:r w:rsidR="005A3FA6">
        <w:rPr>
          <w:rFonts w:cs="Times New Roman"/>
          <w:lang w:val="hr-HR"/>
        </w:rPr>
        <w:t>% BDP-a. Izvanproračunski korisnici</w:t>
      </w:r>
      <w:r w:rsidR="008D23F9">
        <w:rPr>
          <w:rFonts w:cs="Times New Roman"/>
          <w:lang w:val="hr-HR"/>
        </w:rPr>
        <w:t xml:space="preserve"> </w:t>
      </w:r>
      <w:r w:rsidRPr="003955B2">
        <w:rPr>
          <w:rFonts w:cs="Times New Roman"/>
          <w:lang w:val="hr-HR"/>
        </w:rPr>
        <w:t>ostvaruju višak od 0,</w:t>
      </w:r>
      <w:r w:rsidR="00CB292E">
        <w:rPr>
          <w:rFonts w:cs="Times New Roman"/>
          <w:lang w:val="hr-HR"/>
        </w:rPr>
        <w:t>1</w:t>
      </w:r>
      <w:r w:rsidRPr="003955B2">
        <w:rPr>
          <w:rFonts w:cs="Times New Roman"/>
          <w:lang w:val="hr-HR"/>
        </w:rPr>
        <w:t>% BDP-a</w:t>
      </w:r>
      <w:r w:rsidR="005E6607">
        <w:rPr>
          <w:rFonts w:cs="Times New Roman"/>
          <w:lang w:val="hr-HR"/>
        </w:rPr>
        <w:t xml:space="preserve">, </w:t>
      </w:r>
      <w:r w:rsidR="008221E6">
        <w:rPr>
          <w:rFonts w:cs="Times New Roman"/>
          <w:lang w:val="hr-HR"/>
        </w:rPr>
        <w:t xml:space="preserve">dok jedinice lokalne i područne (regionalne) samouprave ostvaruju manjak od </w:t>
      </w:r>
      <w:r w:rsidR="005E6607">
        <w:rPr>
          <w:rFonts w:cs="Times New Roman"/>
          <w:lang w:val="hr-HR"/>
        </w:rPr>
        <w:t>0,4% BDP-a</w:t>
      </w:r>
      <w:r w:rsidRPr="003955B2">
        <w:rPr>
          <w:rFonts w:cs="Times New Roman"/>
          <w:lang w:val="hr-HR"/>
        </w:rPr>
        <w:t xml:space="preserve">. </w:t>
      </w:r>
    </w:p>
    <w:p w:rsidR="006E0462" w:rsidRPr="007B5B19" w:rsidRDefault="006E0462" w:rsidP="00817E42">
      <w:pPr>
        <w:spacing w:after="120"/>
        <w:jc w:val="both"/>
        <w:rPr>
          <w:rFonts w:cs="Times New Roman"/>
          <w:lang w:val="hr-HR"/>
        </w:rPr>
      </w:pPr>
      <w:proofErr w:type="spellStart"/>
      <w:r w:rsidRPr="00515E82">
        <w:rPr>
          <w:i/>
        </w:rPr>
        <w:t>Tablica</w:t>
      </w:r>
      <w:proofErr w:type="spellEnd"/>
      <w:r w:rsidR="00F03484">
        <w:rPr>
          <w:i/>
        </w:rPr>
        <w:t xml:space="preserve"> 8</w:t>
      </w:r>
      <w:r w:rsidRPr="00515E82">
        <w:rPr>
          <w:i/>
        </w:rPr>
        <w:t xml:space="preserve">. </w:t>
      </w:r>
      <w:proofErr w:type="spellStart"/>
      <w:r w:rsidRPr="00515E82">
        <w:rPr>
          <w:i/>
        </w:rPr>
        <w:t>Procjena</w:t>
      </w:r>
      <w:proofErr w:type="spellEnd"/>
      <w:r w:rsidRPr="00515E82">
        <w:rPr>
          <w:i/>
        </w:rPr>
        <w:t xml:space="preserve"> </w:t>
      </w:r>
      <w:proofErr w:type="spellStart"/>
      <w:r w:rsidRPr="00515E82">
        <w:rPr>
          <w:i/>
        </w:rPr>
        <w:t>ukupnog</w:t>
      </w:r>
      <w:proofErr w:type="spellEnd"/>
      <w:r w:rsidRPr="00515E82">
        <w:rPr>
          <w:i/>
        </w:rPr>
        <w:t xml:space="preserve"> </w:t>
      </w:r>
      <w:proofErr w:type="spellStart"/>
      <w:r w:rsidRPr="00515E82">
        <w:rPr>
          <w:i/>
        </w:rPr>
        <w:t>manjka</w:t>
      </w:r>
      <w:proofErr w:type="spellEnd"/>
      <w:r w:rsidRPr="00515E82">
        <w:rPr>
          <w:i/>
        </w:rPr>
        <w:t>/</w:t>
      </w:r>
      <w:proofErr w:type="spellStart"/>
      <w:r w:rsidRPr="00515E82">
        <w:rPr>
          <w:i/>
        </w:rPr>
        <w:t>viška</w:t>
      </w:r>
      <w:proofErr w:type="spellEnd"/>
      <w:r w:rsidRPr="00515E82">
        <w:rPr>
          <w:i/>
        </w:rPr>
        <w:t xml:space="preserve"> </w:t>
      </w:r>
      <w:proofErr w:type="spellStart"/>
      <w:r w:rsidRPr="00515E82">
        <w:rPr>
          <w:i/>
        </w:rPr>
        <w:t>proračuna</w:t>
      </w:r>
      <w:proofErr w:type="spellEnd"/>
      <w:r w:rsidRPr="00515E82">
        <w:rPr>
          <w:i/>
        </w:rPr>
        <w:t xml:space="preserve"> </w:t>
      </w:r>
      <w:proofErr w:type="spellStart"/>
      <w:r w:rsidRPr="00515E82">
        <w:rPr>
          <w:i/>
        </w:rPr>
        <w:t>opće</w:t>
      </w:r>
      <w:proofErr w:type="spellEnd"/>
      <w:r w:rsidRPr="00515E82">
        <w:rPr>
          <w:i/>
        </w:rPr>
        <w:t xml:space="preserve"> </w:t>
      </w:r>
      <w:proofErr w:type="spellStart"/>
      <w:r w:rsidRPr="00515E82">
        <w:rPr>
          <w:i/>
        </w:rPr>
        <w:t>države</w:t>
      </w:r>
      <w:proofErr w:type="spellEnd"/>
    </w:p>
    <w:p w:rsidR="001F2B62" w:rsidRPr="001F2B62" w:rsidRDefault="00A141B7" w:rsidP="006E0462">
      <w:pPr>
        <w:spacing w:after="0"/>
        <w:rPr>
          <w:lang w:val="hr-HR"/>
        </w:rPr>
      </w:pPr>
      <w:r w:rsidRPr="00A141B7">
        <w:rPr>
          <w:noProof/>
          <w:lang w:val="hr-HR" w:eastAsia="hr-HR"/>
        </w:rPr>
        <w:drawing>
          <wp:inline distT="0" distB="0" distL="0" distR="0">
            <wp:extent cx="5760720" cy="5942339"/>
            <wp:effectExtent l="0" t="0" r="0" b="127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5942339"/>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8221E6" w:rsidRDefault="003955B2" w:rsidP="00023A60">
      <w:pPr>
        <w:spacing w:after="120"/>
        <w:jc w:val="both"/>
        <w:rPr>
          <w:rFonts w:ascii="Calibri" w:hAnsi="Calibri"/>
          <w:lang w:val="hr-HR"/>
        </w:rPr>
      </w:pPr>
      <w:r w:rsidRPr="000416D7">
        <w:rPr>
          <w:rFonts w:ascii="Calibri" w:hAnsi="Calibri"/>
          <w:lang w:val="hr-HR"/>
        </w:rPr>
        <w:t>Kada se ovim veličinama pridodaju prilagodbe nacionalne metodologije računskog plana europskoj statističkoj metodologiji ESA 2010 te projekcije ostalih pravnih osoba koje su statistički uključene u sektor opće države, procjenjuje se kako će pla</w:t>
      </w:r>
      <w:r>
        <w:rPr>
          <w:rFonts w:ascii="Calibri" w:hAnsi="Calibri"/>
          <w:lang w:val="hr-HR"/>
        </w:rPr>
        <w:t>nirani manjak opće</w:t>
      </w:r>
      <w:r w:rsidRPr="000416D7">
        <w:rPr>
          <w:rFonts w:ascii="Calibri" w:hAnsi="Calibri"/>
          <w:lang w:val="hr-HR"/>
        </w:rPr>
        <w:t xml:space="preserve"> </w:t>
      </w:r>
      <w:r>
        <w:rPr>
          <w:rFonts w:ascii="Calibri" w:hAnsi="Calibri"/>
          <w:lang w:val="hr-HR"/>
        </w:rPr>
        <w:t>države u 202</w:t>
      </w:r>
      <w:r w:rsidR="003142A7">
        <w:rPr>
          <w:rFonts w:ascii="Calibri" w:hAnsi="Calibri"/>
          <w:lang w:val="hr-HR"/>
        </w:rPr>
        <w:t>5</w:t>
      </w:r>
      <w:r w:rsidRPr="000416D7">
        <w:rPr>
          <w:rFonts w:ascii="Calibri" w:hAnsi="Calibri"/>
          <w:lang w:val="hr-HR"/>
        </w:rPr>
        <w:t xml:space="preserve">. godini iznositi </w:t>
      </w:r>
      <w:r w:rsidR="001B136F">
        <w:rPr>
          <w:rFonts w:ascii="Calibri" w:hAnsi="Calibri"/>
          <w:lang w:val="hr-HR"/>
        </w:rPr>
        <w:t>2,</w:t>
      </w:r>
      <w:r w:rsidR="003142A7">
        <w:rPr>
          <w:rFonts w:ascii="Calibri" w:hAnsi="Calibri"/>
          <w:lang w:val="hr-HR"/>
        </w:rPr>
        <w:t>7</w:t>
      </w:r>
      <w:r w:rsidR="002447E3">
        <w:rPr>
          <w:rFonts w:ascii="Calibri" w:hAnsi="Calibri"/>
          <w:lang w:val="hr-HR"/>
        </w:rPr>
        <w:t xml:space="preserve"> </w:t>
      </w:r>
      <w:r w:rsidRPr="000416D7">
        <w:rPr>
          <w:rFonts w:ascii="Calibri" w:hAnsi="Calibri"/>
          <w:lang w:val="hr-HR"/>
        </w:rPr>
        <w:lastRenderedPageBreak/>
        <w:t>milij</w:t>
      </w:r>
      <w:r w:rsidR="001B136F">
        <w:rPr>
          <w:rFonts w:ascii="Calibri" w:hAnsi="Calibri"/>
          <w:lang w:val="hr-HR"/>
        </w:rPr>
        <w:t>ard</w:t>
      </w:r>
      <w:r w:rsidR="003142A7">
        <w:rPr>
          <w:rFonts w:ascii="Calibri" w:hAnsi="Calibri"/>
          <w:lang w:val="hr-HR"/>
        </w:rPr>
        <w:t>i</w:t>
      </w:r>
      <w:r w:rsidRPr="000416D7">
        <w:rPr>
          <w:rFonts w:ascii="Calibri" w:hAnsi="Calibri"/>
          <w:lang w:val="hr-HR"/>
        </w:rPr>
        <w:t xml:space="preserve"> eura ili </w:t>
      </w:r>
      <w:r w:rsidR="001B136F">
        <w:rPr>
          <w:rFonts w:ascii="Calibri" w:hAnsi="Calibri"/>
          <w:lang w:val="hr-HR"/>
        </w:rPr>
        <w:t>2,</w:t>
      </w:r>
      <w:r w:rsidR="003142A7">
        <w:rPr>
          <w:rFonts w:ascii="Calibri" w:hAnsi="Calibri"/>
          <w:lang w:val="hr-HR"/>
        </w:rPr>
        <w:t>9</w:t>
      </w:r>
      <w:r w:rsidR="00705286">
        <w:rPr>
          <w:rFonts w:ascii="Calibri" w:hAnsi="Calibri"/>
          <w:lang w:val="hr-HR"/>
        </w:rPr>
        <w:t>% BDP-a, či</w:t>
      </w:r>
      <w:r w:rsidR="00705286" w:rsidRPr="00705286">
        <w:rPr>
          <w:rFonts w:ascii="Calibri" w:hAnsi="Calibri"/>
          <w:lang w:val="hr-HR"/>
        </w:rPr>
        <w:t>me je ispunjen kriterij proračunskog manjka sukladno odredbama Pakta o stabilnosti i rastu.</w:t>
      </w:r>
    </w:p>
    <w:p w:rsidR="00705286" w:rsidRPr="005B125D" w:rsidRDefault="00705286" w:rsidP="00705286">
      <w:pPr>
        <w:jc w:val="both"/>
      </w:pPr>
      <w:r w:rsidRPr="003B442E">
        <w:rPr>
          <w:lang w:val="hr-HR"/>
        </w:rPr>
        <w:t>Iako</w:t>
      </w:r>
      <w:r w:rsidRPr="00332301">
        <w:rPr>
          <w:lang w:val="hr-HR"/>
        </w:rPr>
        <w:t xml:space="preserve"> su negativne gospodarske posljedice </w:t>
      </w:r>
      <w:proofErr w:type="spellStart"/>
      <w:r w:rsidRPr="00332301">
        <w:rPr>
          <w:lang w:val="hr-HR"/>
        </w:rPr>
        <w:t>pandemije</w:t>
      </w:r>
      <w:proofErr w:type="spellEnd"/>
      <w:r w:rsidRPr="00332301">
        <w:rPr>
          <w:lang w:val="hr-HR"/>
        </w:rPr>
        <w:t xml:space="preserve"> </w:t>
      </w:r>
      <w:proofErr w:type="spellStart"/>
      <w:r w:rsidRPr="00332301">
        <w:rPr>
          <w:lang w:val="hr-HR"/>
        </w:rPr>
        <w:t>koronavirusa</w:t>
      </w:r>
      <w:proofErr w:type="spellEnd"/>
      <w:r w:rsidRPr="00332301">
        <w:rPr>
          <w:lang w:val="hr-HR"/>
        </w:rPr>
        <w:t xml:space="preserve"> dovele do visokog rasta</w:t>
      </w:r>
      <w:r w:rsidRPr="00CF03AD">
        <w:rPr>
          <w:lang w:val="hr-HR"/>
        </w:rPr>
        <w:t xml:space="preserve"> javnog duga</w:t>
      </w:r>
      <w:r w:rsidRPr="00606C95">
        <w:rPr>
          <w:lang w:val="hr-HR"/>
        </w:rPr>
        <w:t xml:space="preserve"> </w:t>
      </w:r>
      <w:r w:rsidRPr="00CF03AD">
        <w:rPr>
          <w:lang w:val="hr-HR"/>
        </w:rPr>
        <w:t xml:space="preserve">u 2020., </w:t>
      </w:r>
      <w:r>
        <w:rPr>
          <w:lang w:val="hr-HR"/>
        </w:rPr>
        <w:t xml:space="preserve">proteklih godina </w:t>
      </w:r>
      <w:r w:rsidRPr="00CF03AD">
        <w:rPr>
          <w:lang w:val="hr-HR"/>
        </w:rPr>
        <w:t xml:space="preserve">navedeni pokazatelj </w:t>
      </w:r>
      <w:r>
        <w:rPr>
          <w:lang w:val="hr-HR"/>
        </w:rPr>
        <w:t xml:space="preserve">bilježi </w:t>
      </w:r>
      <w:r w:rsidRPr="00CF03AD">
        <w:rPr>
          <w:lang w:val="hr-HR"/>
        </w:rPr>
        <w:t>znatno poboljšanje te će se ovaj trend nastaviti i u 202</w:t>
      </w:r>
      <w:r>
        <w:rPr>
          <w:lang w:val="hr-HR"/>
        </w:rPr>
        <w:t>5. godini. Štoviše, javni dug je krajem 2024., prvi puta nakon 2010. godine, pao ispod razine od 60% BDP-a. O</w:t>
      </w:r>
      <w:r w:rsidRPr="00C97D4F">
        <w:rPr>
          <w:lang w:val="hr-HR"/>
        </w:rPr>
        <w:t xml:space="preserve">čekuje se da će udio javnog duga u BDP-u u </w:t>
      </w:r>
      <w:r>
        <w:rPr>
          <w:lang w:val="hr-HR"/>
        </w:rPr>
        <w:t xml:space="preserve">2025. </w:t>
      </w:r>
      <w:r w:rsidRPr="00C97D4F">
        <w:rPr>
          <w:lang w:val="hr-HR"/>
        </w:rPr>
        <w:t xml:space="preserve">zabilježiti smanjenje </w:t>
      </w:r>
      <w:r>
        <w:rPr>
          <w:lang w:val="hr-HR"/>
        </w:rPr>
        <w:t>od 0,7</w:t>
      </w:r>
      <w:r w:rsidRPr="00C97D4F">
        <w:rPr>
          <w:lang w:val="hr-HR"/>
        </w:rPr>
        <w:t xml:space="preserve"> postotn</w:t>
      </w:r>
      <w:r>
        <w:rPr>
          <w:lang w:val="hr-HR"/>
        </w:rPr>
        <w:t>ih</w:t>
      </w:r>
      <w:r w:rsidRPr="00C97D4F">
        <w:rPr>
          <w:lang w:val="hr-HR"/>
        </w:rPr>
        <w:t xml:space="preserve"> bod</w:t>
      </w:r>
      <w:r>
        <w:rPr>
          <w:lang w:val="hr-HR"/>
        </w:rPr>
        <w:t>a, odnosno sa 57,6% BDP-a krajem 2024. na</w:t>
      </w:r>
      <w:r w:rsidRPr="00C97D4F">
        <w:rPr>
          <w:lang w:val="hr-HR"/>
        </w:rPr>
        <w:t xml:space="preserve"> </w:t>
      </w:r>
      <w:r>
        <w:rPr>
          <w:lang w:val="hr-HR"/>
        </w:rPr>
        <w:t xml:space="preserve">56,9% BDP-a krajem 2025. </w:t>
      </w:r>
      <w:r w:rsidRPr="00D53961">
        <w:rPr>
          <w:lang w:val="hr-HR"/>
        </w:rPr>
        <w:t xml:space="preserve">godine. </w:t>
      </w:r>
    </w:p>
    <w:p w:rsidR="008564E7" w:rsidRPr="008221E6" w:rsidRDefault="008564E7" w:rsidP="00023A60">
      <w:pPr>
        <w:spacing w:after="120"/>
        <w:jc w:val="both"/>
        <w:rPr>
          <w:rFonts w:ascii="Calibri" w:hAnsi="Calibri"/>
          <w:lang w:val="hr-HR"/>
        </w:rPr>
      </w:pPr>
      <w:r w:rsidRPr="008564E7">
        <w:rPr>
          <w:i/>
          <w:lang w:val="hr-HR"/>
        </w:rPr>
        <w:t xml:space="preserve">Grafikon </w:t>
      </w:r>
      <w:r w:rsidRPr="008564E7">
        <w:rPr>
          <w:i/>
          <w:lang w:val="hr-HR"/>
        </w:rPr>
        <w:fldChar w:fldCharType="begin"/>
      </w:r>
      <w:r w:rsidRPr="008564E7">
        <w:rPr>
          <w:i/>
          <w:lang w:val="hr-HR"/>
        </w:rPr>
        <w:instrText xml:space="preserve"> SEQ Grafikon \* ARABIC </w:instrText>
      </w:r>
      <w:r w:rsidRPr="008564E7">
        <w:rPr>
          <w:i/>
          <w:lang w:val="hr-HR"/>
        </w:rPr>
        <w:fldChar w:fldCharType="separate"/>
      </w:r>
      <w:r w:rsidR="00064A3E">
        <w:rPr>
          <w:i/>
          <w:noProof/>
          <w:lang w:val="hr-HR"/>
        </w:rPr>
        <w:t>1</w:t>
      </w:r>
      <w:r w:rsidRPr="008564E7">
        <w:rPr>
          <w:i/>
          <w:lang w:val="hr-HR"/>
        </w:rPr>
        <w:fldChar w:fldCharType="end"/>
      </w:r>
      <w:r w:rsidRPr="008564E7">
        <w:rPr>
          <w:i/>
          <w:lang w:val="hr-HR"/>
        </w:rPr>
        <w:t>: Javni dug u razdoblju 201</w:t>
      </w:r>
      <w:r w:rsidR="00193D73">
        <w:rPr>
          <w:i/>
          <w:lang w:val="hr-HR"/>
        </w:rPr>
        <w:t>9</w:t>
      </w:r>
      <w:r w:rsidRPr="008564E7">
        <w:rPr>
          <w:i/>
          <w:lang w:val="hr-HR"/>
        </w:rPr>
        <w:t>. – 202</w:t>
      </w:r>
      <w:r w:rsidR="00193D73">
        <w:rPr>
          <w:i/>
          <w:lang w:val="hr-HR"/>
        </w:rPr>
        <w:t>5</w:t>
      </w:r>
      <w:r w:rsidRPr="008564E7">
        <w:rPr>
          <w:i/>
          <w:lang w:val="hr-HR"/>
        </w:rPr>
        <w:t>.</w:t>
      </w:r>
    </w:p>
    <w:p w:rsidR="006C7BE6" w:rsidRDefault="00C42E5F" w:rsidP="009277FC">
      <w:pPr>
        <w:spacing w:after="120"/>
        <w:jc w:val="both"/>
        <w:rPr>
          <w:rFonts w:ascii="Calibri" w:hAnsi="Calibri"/>
          <w:lang w:val="hr-HR"/>
        </w:rPr>
      </w:pPr>
      <w:r>
        <w:rPr>
          <w:rFonts w:ascii="Calibri" w:hAnsi="Calibri"/>
          <w:noProof/>
          <w:lang w:val="hr-HR" w:eastAsia="hr-HR"/>
        </w:rPr>
        <w:drawing>
          <wp:inline distT="0" distB="0" distL="0" distR="0" wp14:anchorId="63B206A9">
            <wp:extent cx="5777078" cy="2683359"/>
            <wp:effectExtent l="0" t="0" r="0" b="317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9772" cy="2693900"/>
                    </a:xfrm>
                    <a:prstGeom prst="rect">
                      <a:avLst/>
                    </a:prstGeom>
                    <a:noFill/>
                  </pic:spPr>
                </pic:pic>
              </a:graphicData>
            </a:graphic>
          </wp:inline>
        </w:drawing>
      </w:r>
    </w:p>
    <w:p w:rsidR="008564E7" w:rsidRPr="008564E7" w:rsidRDefault="008564E7" w:rsidP="008564E7">
      <w:pPr>
        <w:spacing w:after="120"/>
        <w:rPr>
          <w:rFonts w:ascii="Calibri" w:hAnsi="Calibri"/>
          <w:i/>
          <w:sz w:val="20"/>
          <w:szCs w:val="20"/>
          <w:lang w:val="hr-HR"/>
        </w:rPr>
      </w:pPr>
      <w:r w:rsidRPr="008564E7">
        <w:rPr>
          <w:rFonts w:ascii="Calibri" w:hAnsi="Calibri"/>
          <w:i/>
          <w:sz w:val="20"/>
          <w:szCs w:val="20"/>
          <w:lang w:val="hr-HR"/>
        </w:rPr>
        <w:t>Izvor: DZS, HNB, Ministarstvo financija</w:t>
      </w:r>
      <w:bookmarkStart w:id="19" w:name="_GoBack"/>
      <w:bookmarkEnd w:id="19"/>
    </w:p>
    <w:sectPr w:rsidR="008564E7" w:rsidRPr="008564E7" w:rsidSect="008A2363">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D24" w:rsidRDefault="00A91D24">
      <w:pPr>
        <w:spacing w:after="0" w:line="240" w:lineRule="auto"/>
      </w:pPr>
      <w:r>
        <w:separator/>
      </w:r>
    </w:p>
  </w:endnote>
  <w:endnote w:type="continuationSeparator" w:id="0">
    <w:p w:rsidR="00A91D24" w:rsidRDefault="00A91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8A2363">
          <w:rPr>
            <w:noProof/>
            <w:sz w:val="20"/>
            <w:szCs w:val="20"/>
          </w:rPr>
          <w:t>20</w:t>
        </w:r>
        <w:r w:rsidRPr="00927736">
          <w:rPr>
            <w:noProof/>
            <w:sz w:val="20"/>
            <w:szCs w:val="20"/>
          </w:rPr>
          <w:fldChar w:fldCharType="end"/>
        </w:r>
      </w:p>
    </w:sdtContent>
  </w:sdt>
  <w:p w:rsidR="00927736" w:rsidRDefault="008A2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D24" w:rsidRDefault="00A91D24">
      <w:pPr>
        <w:spacing w:after="0" w:line="240" w:lineRule="auto"/>
      </w:pPr>
      <w:r>
        <w:separator/>
      </w:r>
    </w:p>
  </w:footnote>
  <w:footnote w:type="continuationSeparator" w:id="0">
    <w:p w:rsidR="00A91D24" w:rsidRDefault="00A91D24">
      <w:pPr>
        <w:spacing w:after="0" w:line="240" w:lineRule="auto"/>
      </w:pPr>
      <w:r>
        <w:continuationSeparator/>
      </w:r>
    </w:p>
  </w:footnote>
  <w:footnote w:id="1">
    <w:p w:rsidR="009721F1" w:rsidRPr="00A61A83" w:rsidRDefault="009721F1" w:rsidP="009721F1">
      <w:pPr>
        <w:pStyle w:val="FootnoteText"/>
        <w:jc w:val="both"/>
        <w:rPr>
          <w:lang w:val="hr-HR"/>
        </w:rPr>
      </w:pPr>
      <w:r w:rsidRPr="00A61A83">
        <w:rPr>
          <w:rStyle w:val="FootnoteReference"/>
          <w:lang w:val="hr-HR"/>
        </w:rPr>
        <w:footnoteRef/>
      </w:r>
      <w:r w:rsidRPr="00A61A83">
        <w:rPr>
          <w:lang w:val="hr-HR"/>
        </w:rPr>
        <w:t xml:space="preserve"> Nova projekcija BDP-a te njegovih komponenti s rashodne strane, kao i ostalih ključnih makroekonomskih veličina, bit će objavljena u okviru Nacrta proračunskog plana Republike Hrvatske za 2026. godinu, koji će Vlada RH usvojiti i dostaviti Europskoj komisiji do kraja listopada ove godine.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434094"/>
    <w:multiLevelType w:val="hybridMultilevel"/>
    <w:tmpl w:val="409E4E6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3D16E4"/>
    <w:multiLevelType w:val="hybridMultilevel"/>
    <w:tmpl w:val="5C4068A0"/>
    <w:lvl w:ilvl="0" w:tplc="041A0001">
      <w:start w:val="1"/>
      <w:numFmt w:val="bullet"/>
      <w:lvlText w:val=""/>
      <w:lvlJc w:val="left"/>
      <w:pPr>
        <w:ind w:left="770" w:hanging="360"/>
      </w:pPr>
      <w:rPr>
        <w:rFonts w:ascii="Symbol" w:hAnsi="Symbol" w:hint="default"/>
      </w:rPr>
    </w:lvl>
    <w:lvl w:ilvl="1" w:tplc="041A0003" w:tentative="1">
      <w:start w:val="1"/>
      <w:numFmt w:val="bullet"/>
      <w:lvlText w:val="o"/>
      <w:lvlJc w:val="left"/>
      <w:pPr>
        <w:ind w:left="1490" w:hanging="360"/>
      </w:pPr>
      <w:rPr>
        <w:rFonts w:ascii="Courier New" w:hAnsi="Courier New" w:cs="Courier New" w:hint="default"/>
      </w:rPr>
    </w:lvl>
    <w:lvl w:ilvl="2" w:tplc="041A0005" w:tentative="1">
      <w:start w:val="1"/>
      <w:numFmt w:val="bullet"/>
      <w:lvlText w:val=""/>
      <w:lvlJc w:val="left"/>
      <w:pPr>
        <w:ind w:left="2210" w:hanging="360"/>
      </w:pPr>
      <w:rPr>
        <w:rFonts w:ascii="Wingdings" w:hAnsi="Wingdings" w:hint="default"/>
      </w:rPr>
    </w:lvl>
    <w:lvl w:ilvl="3" w:tplc="041A0001" w:tentative="1">
      <w:start w:val="1"/>
      <w:numFmt w:val="bullet"/>
      <w:lvlText w:val=""/>
      <w:lvlJc w:val="left"/>
      <w:pPr>
        <w:ind w:left="2930" w:hanging="360"/>
      </w:pPr>
      <w:rPr>
        <w:rFonts w:ascii="Symbol" w:hAnsi="Symbol" w:hint="default"/>
      </w:rPr>
    </w:lvl>
    <w:lvl w:ilvl="4" w:tplc="041A0003" w:tentative="1">
      <w:start w:val="1"/>
      <w:numFmt w:val="bullet"/>
      <w:lvlText w:val="o"/>
      <w:lvlJc w:val="left"/>
      <w:pPr>
        <w:ind w:left="3650" w:hanging="360"/>
      </w:pPr>
      <w:rPr>
        <w:rFonts w:ascii="Courier New" w:hAnsi="Courier New" w:cs="Courier New" w:hint="default"/>
      </w:rPr>
    </w:lvl>
    <w:lvl w:ilvl="5" w:tplc="041A0005" w:tentative="1">
      <w:start w:val="1"/>
      <w:numFmt w:val="bullet"/>
      <w:lvlText w:val=""/>
      <w:lvlJc w:val="left"/>
      <w:pPr>
        <w:ind w:left="4370" w:hanging="360"/>
      </w:pPr>
      <w:rPr>
        <w:rFonts w:ascii="Wingdings" w:hAnsi="Wingdings" w:hint="default"/>
      </w:rPr>
    </w:lvl>
    <w:lvl w:ilvl="6" w:tplc="041A0001" w:tentative="1">
      <w:start w:val="1"/>
      <w:numFmt w:val="bullet"/>
      <w:lvlText w:val=""/>
      <w:lvlJc w:val="left"/>
      <w:pPr>
        <w:ind w:left="5090" w:hanging="360"/>
      </w:pPr>
      <w:rPr>
        <w:rFonts w:ascii="Symbol" w:hAnsi="Symbol" w:hint="default"/>
      </w:rPr>
    </w:lvl>
    <w:lvl w:ilvl="7" w:tplc="041A0003" w:tentative="1">
      <w:start w:val="1"/>
      <w:numFmt w:val="bullet"/>
      <w:lvlText w:val="o"/>
      <w:lvlJc w:val="left"/>
      <w:pPr>
        <w:ind w:left="5810" w:hanging="360"/>
      </w:pPr>
      <w:rPr>
        <w:rFonts w:ascii="Courier New" w:hAnsi="Courier New" w:cs="Courier New" w:hint="default"/>
      </w:rPr>
    </w:lvl>
    <w:lvl w:ilvl="8" w:tplc="041A0005" w:tentative="1">
      <w:start w:val="1"/>
      <w:numFmt w:val="bullet"/>
      <w:lvlText w:val=""/>
      <w:lvlJc w:val="left"/>
      <w:pPr>
        <w:ind w:left="6530" w:hanging="360"/>
      </w:pPr>
      <w:rPr>
        <w:rFonts w:ascii="Wingdings" w:hAnsi="Wingdings" w:hint="default"/>
      </w:rPr>
    </w:lvl>
  </w:abstractNum>
  <w:abstractNum w:abstractNumId="5"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1E932E43"/>
    <w:multiLevelType w:val="hybridMultilevel"/>
    <w:tmpl w:val="3DCAE8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60D3EF1"/>
    <w:multiLevelType w:val="hybridMultilevel"/>
    <w:tmpl w:val="CFAC933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0"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45F56C3"/>
    <w:multiLevelType w:val="hybridMultilevel"/>
    <w:tmpl w:val="64CC5ECE"/>
    <w:lvl w:ilvl="0" w:tplc="8CF654E6">
      <w:numFmt w:val="bullet"/>
      <w:lvlText w:val="•"/>
      <w:lvlJc w:val="left"/>
      <w:pPr>
        <w:ind w:left="720" w:hanging="360"/>
      </w:pPr>
      <w:rPr>
        <w:rFonts w:ascii="Calibri" w:eastAsiaTheme="minorHAnsi" w:hAnsi="Calibri" w:cs="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02A40F6"/>
    <w:multiLevelType w:val="hybridMultilevel"/>
    <w:tmpl w:val="C6AA1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0315F45"/>
    <w:multiLevelType w:val="multilevel"/>
    <w:tmpl w:val="41FE2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7"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16"/>
  </w:num>
  <w:num w:numId="4">
    <w:abstractNumId w:val="2"/>
  </w:num>
  <w:num w:numId="5">
    <w:abstractNumId w:val="19"/>
  </w:num>
  <w:num w:numId="6">
    <w:abstractNumId w:val="3"/>
  </w:num>
  <w:num w:numId="7">
    <w:abstractNumId w:val="0"/>
  </w:num>
  <w:num w:numId="8">
    <w:abstractNumId w:val="5"/>
  </w:num>
  <w:num w:numId="9">
    <w:abstractNumId w:val="17"/>
  </w:num>
  <w:num w:numId="10">
    <w:abstractNumId w:val="20"/>
  </w:num>
  <w:num w:numId="11">
    <w:abstractNumId w:val="11"/>
  </w:num>
  <w:num w:numId="12">
    <w:abstractNumId w:val="7"/>
  </w:num>
  <w:num w:numId="13">
    <w:abstractNumId w:val="8"/>
  </w:num>
  <w:num w:numId="14">
    <w:abstractNumId w:val="1"/>
  </w:num>
  <w:num w:numId="15">
    <w:abstractNumId w:val="15"/>
  </w:num>
  <w:num w:numId="16">
    <w:abstractNumId w:val="14"/>
  </w:num>
  <w:num w:numId="17">
    <w:abstractNumId w:val="10"/>
  </w:num>
  <w:num w:numId="18">
    <w:abstractNumId w:val="6"/>
  </w:num>
  <w:num w:numId="19">
    <w:abstractNumId w:val="9"/>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261D"/>
    <w:rsid w:val="00003D5E"/>
    <w:rsid w:val="000040EA"/>
    <w:rsid w:val="00004CF8"/>
    <w:rsid w:val="0000672A"/>
    <w:rsid w:val="00006731"/>
    <w:rsid w:val="000101D8"/>
    <w:rsid w:val="0001315E"/>
    <w:rsid w:val="00021B81"/>
    <w:rsid w:val="00023A60"/>
    <w:rsid w:val="00023F38"/>
    <w:rsid w:val="00025948"/>
    <w:rsid w:val="00027686"/>
    <w:rsid w:val="00027EBF"/>
    <w:rsid w:val="000307B2"/>
    <w:rsid w:val="00044D20"/>
    <w:rsid w:val="0004579A"/>
    <w:rsid w:val="000465E0"/>
    <w:rsid w:val="0005132A"/>
    <w:rsid w:val="000514D2"/>
    <w:rsid w:val="000516ED"/>
    <w:rsid w:val="0005291D"/>
    <w:rsid w:val="00060E64"/>
    <w:rsid w:val="00060F54"/>
    <w:rsid w:val="0006121D"/>
    <w:rsid w:val="00064A3E"/>
    <w:rsid w:val="000674BE"/>
    <w:rsid w:val="0007216A"/>
    <w:rsid w:val="000722E3"/>
    <w:rsid w:val="000722F3"/>
    <w:rsid w:val="00077291"/>
    <w:rsid w:val="00081C54"/>
    <w:rsid w:val="00082EB1"/>
    <w:rsid w:val="000848F3"/>
    <w:rsid w:val="00085157"/>
    <w:rsid w:val="000949E5"/>
    <w:rsid w:val="000A01E3"/>
    <w:rsid w:val="000A2502"/>
    <w:rsid w:val="000A253C"/>
    <w:rsid w:val="000A57CF"/>
    <w:rsid w:val="000B4B02"/>
    <w:rsid w:val="000B7EEC"/>
    <w:rsid w:val="000C1CEE"/>
    <w:rsid w:val="000C4539"/>
    <w:rsid w:val="000D3576"/>
    <w:rsid w:val="000D59BF"/>
    <w:rsid w:val="000E4A39"/>
    <w:rsid w:val="000E4D93"/>
    <w:rsid w:val="000F091E"/>
    <w:rsid w:val="000F0944"/>
    <w:rsid w:val="000F2753"/>
    <w:rsid w:val="001021B6"/>
    <w:rsid w:val="0010343D"/>
    <w:rsid w:val="001039E2"/>
    <w:rsid w:val="00103C81"/>
    <w:rsid w:val="001127D4"/>
    <w:rsid w:val="0011352B"/>
    <w:rsid w:val="00114943"/>
    <w:rsid w:val="0011617A"/>
    <w:rsid w:val="00116F22"/>
    <w:rsid w:val="00122C87"/>
    <w:rsid w:val="00125FAC"/>
    <w:rsid w:val="0013052B"/>
    <w:rsid w:val="001314F6"/>
    <w:rsid w:val="001321EB"/>
    <w:rsid w:val="00134B35"/>
    <w:rsid w:val="00135C45"/>
    <w:rsid w:val="00136236"/>
    <w:rsid w:val="001420F8"/>
    <w:rsid w:val="00144841"/>
    <w:rsid w:val="00146291"/>
    <w:rsid w:val="00153EC8"/>
    <w:rsid w:val="00161610"/>
    <w:rsid w:val="001628CF"/>
    <w:rsid w:val="00163C80"/>
    <w:rsid w:val="001642D4"/>
    <w:rsid w:val="001660B7"/>
    <w:rsid w:val="00167FEE"/>
    <w:rsid w:val="00176E3C"/>
    <w:rsid w:val="00180523"/>
    <w:rsid w:val="001830E6"/>
    <w:rsid w:val="001861DB"/>
    <w:rsid w:val="00193D73"/>
    <w:rsid w:val="00195EBE"/>
    <w:rsid w:val="001968B6"/>
    <w:rsid w:val="00196F0D"/>
    <w:rsid w:val="00197DB6"/>
    <w:rsid w:val="001A2049"/>
    <w:rsid w:val="001A487B"/>
    <w:rsid w:val="001A7F56"/>
    <w:rsid w:val="001B136F"/>
    <w:rsid w:val="001B6D94"/>
    <w:rsid w:val="001C0A3F"/>
    <w:rsid w:val="001C0D49"/>
    <w:rsid w:val="001C50F6"/>
    <w:rsid w:val="001C518F"/>
    <w:rsid w:val="001C5874"/>
    <w:rsid w:val="001D5595"/>
    <w:rsid w:val="001E029A"/>
    <w:rsid w:val="001E0575"/>
    <w:rsid w:val="001E098C"/>
    <w:rsid w:val="001E19B0"/>
    <w:rsid w:val="001E514B"/>
    <w:rsid w:val="001F1D66"/>
    <w:rsid w:val="001F2B62"/>
    <w:rsid w:val="001F3D73"/>
    <w:rsid w:val="001F4161"/>
    <w:rsid w:val="001F426A"/>
    <w:rsid w:val="001F5712"/>
    <w:rsid w:val="002022F9"/>
    <w:rsid w:val="002029CF"/>
    <w:rsid w:val="00202ECD"/>
    <w:rsid w:val="00203260"/>
    <w:rsid w:val="00203B06"/>
    <w:rsid w:val="00205365"/>
    <w:rsid w:val="002125E9"/>
    <w:rsid w:val="00212FF2"/>
    <w:rsid w:val="002177E5"/>
    <w:rsid w:val="0022137F"/>
    <w:rsid w:val="0022280E"/>
    <w:rsid w:val="00227042"/>
    <w:rsid w:val="0023360D"/>
    <w:rsid w:val="002447E3"/>
    <w:rsid w:val="0024536B"/>
    <w:rsid w:val="0024773E"/>
    <w:rsid w:val="00256902"/>
    <w:rsid w:val="002632A5"/>
    <w:rsid w:val="002636D8"/>
    <w:rsid w:val="0026390D"/>
    <w:rsid w:val="00263C6F"/>
    <w:rsid w:val="0026503E"/>
    <w:rsid w:val="00270A0D"/>
    <w:rsid w:val="00272320"/>
    <w:rsid w:val="002734F4"/>
    <w:rsid w:val="002776E1"/>
    <w:rsid w:val="00277BFE"/>
    <w:rsid w:val="002821C1"/>
    <w:rsid w:val="002851DB"/>
    <w:rsid w:val="00287171"/>
    <w:rsid w:val="002875DE"/>
    <w:rsid w:val="00287D4E"/>
    <w:rsid w:val="00291285"/>
    <w:rsid w:val="00297AA5"/>
    <w:rsid w:val="002A19FA"/>
    <w:rsid w:val="002B3BAA"/>
    <w:rsid w:val="002B4274"/>
    <w:rsid w:val="002C1D0D"/>
    <w:rsid w:val="002C4294"/>
    <w:rsid w:val="002C7056"/>
    <w:rsid w:val="002D078F"/>
    <w:rsid w:val="002D1818"/>
    <w:rsid w:val="002D3AA1"/>
    <w:rsid w:val="002D563E"/>
    <w:rsid w:val="002D5B5F"/>
    <w:rsid w:val="002E0711"/>
    <w:rsid w:val="002E165F"/>
    <w:rsid w:val="002E2334"/>
    <w:rsid w:val="002E2FFA"/>
    <w:rsid w:val="002E35C7"/>
    <w:rsid w:val="002F110B"/>
    <w:rsid w:val="002F1167"/>
    <w:rsid w:val="002F2569"/>
    <w:rsid w:val="002F3F2E"/>
    <w:rsid w:val="002F5327"/>
    <w:rsid w:val="00302BA8"/>
    <w:rsid w:val="00305F0F"/>
    <w:rsid w:val="0031135C"/>
    <w:rsid w:val="0031161A"/>
    <w:rsid w:val="003130EE"/>
    <w:rsid w:val="003142A7"/>
    <w:rsid w:val="00316FA1"/>
    <w:rsid w:val="00322E85"/>
    <w:rsid w:val="00324763"/>
    <w:rsid w:val="0032576C"/>
    <w:rsid w:val="0032614A"/>
    <w:rsid w:val="00331DEF"/>
    <w:rsid w:val="0033243E"/>
    <w:rsid w:val="00336226"/>
    <w:rsid w:val="0033747C"/>
    <w:rsid w:val="00343D8F"/>
    <w:rsid w:val="003459A2"/>
    <w:rsid w:val="003461F5"/>
    <w:rsid w:val="00354B24"/>
    <w:rsid w:val="00355272"/>
    <w:rsid w:val="00363C1C"/>
    <w:rsid w:val="00364E3D"/>
    <w:rsid w:val="00370545"/>
    <w:rsid w:val="00370E35"/>
    <w:rsid w:val="00371DE3"/>
    <w:rsid w:val="00372A2E"/>
    <w:rsid w:val="0037580C"/>
    <w:rsid w:val="00380E0B"/>
    <w:rsid w:val="00382903"/>
    <w:rsid w:val="00393372"/>
    <w:rsid w:val="003955B2"/>
    <w:rsid w:val="003A141B"/>
    <w:rsid w:val="003A3C60"/>
    <w:rsid w:val="003A3ED1"/>
    <w:rsid w:val="003A4027"/>
    <w:rsid w:val="003A5942"/>
    <w:rsid w:val="003B24C8"/>
    <w:rsid w:val="003B442E"/>
    <w:rsid w:val="003B4749"/>
    <w:rsid w:val="003B7E82"/>
    <w:rsid w:val="003C16AA"/>
    <w:rsid w:val="003C1F05"/>
    <w:rsid w:val="003C433B"/>
    <w:rsid w:val="003C48BC"/>
    <w:rsid w:val="003C5A57"/>
    <w:rsid w:val="003D0CEC"/>
    <w:rsid w:val="003D66F3"/>
    <w:rsid w:val="003D77F1"/>
    <w:rsid w:val="003E132F"/>
    <w:rsid w:val="003E2AE9"/>
    <w:rsid w:val="003E30AC"/>
    <w:rsid w:val="003E4F61"/>
    <w:rsid w:val="003E6AB4"/>
    <w:rsid w:val="003E770D"/>
    <w:rsid w:val="003F2EF0"/>
    <w:rsid w:val="003F33C8"/>
    <w:rsid w:val="003F5AF9"/>
    <w:rsid w:val="004017B2"/>
    <w:rsid w:val="004041B9"/>
    <w:rsid w:val="00411965"/>
    <w:rsid w:val="00412A4D"/>
    <w:rsid w:val="00413A8B"/>
    <w:rsid w:val="00424966"/>
    <w:rsid w:val="00425A50"/>
    <w:rsid w:val="00430846"/>
    <w:rsid w:val="00431373"/>
    <w:rsid w:val="00431436"/>
    <w:rsid w:val="0043248F"/>
    <w:rsid w:val="00432971"/>
    <w:rsid w:val="00432D6B"/>
    <w:rsid w:val="00433F61"/>
    <w:rsid w:val="00436640"/>
    <w:rsid w:val="00437A80"/>
    <w:rsid w:val="00443089"/>
    <w:rsid w:val="004430B0"/>
    <w:rsid w:val="00444347"/>
    <w:rsid w:val="00460A30"/>
    <w:rsid w:val="0046118F"/>
    <w:rsid w:val="004619A3"/>
    <w:rsid w:val="00461F62"/>
    <w:rsid w:val="00462A9E"/>
    <w:rsid w:val="00462EC5"/>
    <w:rsid w:val="00464930"/>
    <w:rsid w:val="00473921"/>
    <w:rsid w:val="0047545F"/>
    <w:rsid w:val="00475489"/>
    <w:rsid w:val="00477293"/>
    <w:rsid w:val="0048078A"/>
    <w:rsid w:val="00480958"/>
    <w:rsid w:val="0048144B"/>
    <w:rsid w:val="004846B8"/>
    <w:rsid w:val="00484ACC"/>
    <w:rsid w:val="00485117"/>
    <w:rsid w:val="004869ED"/>
    <w:rsid w:val="00493C2F"/>
    <w:rsid w:val="004941A1"/>
    <w:rsid w:val="00497255"/>
    <w:rsid w:val="004A0B3C"/>
    <w:rsid w:val="004A6071"/>
    <w:rsid w:val="004A6E12"/>
    <w:rsid w:val="004B07D7"/>
    <w:rsid w:val="004B25D2"/>
    <w:rsid w:val="004C0D92"/>
    <w:rsid w:val="004C1AAF"/>
    <w:rsid w:val="004C3991"/>
    <w:rsid w:val="004D3018"/>
    <w:rsid w:val="004D7F5F"/>
    <w:rsid w:val="004E22FA"/>
    <w:rsid w:val="004E31D4"/>
    <w:rsid w:val="004E3244"/>
    <w:rsid w:val="004E4E67"/>
    <w:rsid w:val="004E62B4"/>
    <w:rsid w:val="004E6301"/>
    <w:rsid w:val="004F024C"/>
    <w:rsid w:val="004F2000"/>
    <w:rsid w:val="004F3376"/>
    <w:rsid w:val="004F3BC6"/>
    <w:rsid w:val="004F679C"/>
    <w:rsid w:val="004F7F6A"/>
    <w:rsid w:val="00501B37"/>
    <w:rsid w:val="005052A5"/>
    <w:rsid w:val="005116C4"/>
    <w:rsid w:val="00513178"/>
    <w:rsid w:val="00515E82"/>
    <w:rsid w:val="00516C30"/>
    <w:rsid w:val="00523FC5"/>
    <w:rsid w:val="00524000"/>
    <w:rsid w:val="0052640F"/>
    <w:rsid w:val="00527CC0"/>
    <w:rsid w:val="00530EA6"/>
    <w:rsid w:val="0053462C"/>
    <w:rsid w:val="00534EB8"/>
    <w:rsid w:val="005352CE"/>
    <w:rsid w:val="0054100C"/>
    <w:rsid w:val="005432B2"/>
    <w:rsid w:val="00555278"/>
    <w:rsid w:val="00556E15"/>
    <w:rsid w:val="00557F2C"/>
    <w:rsid w:val="00564895"/>
    <w:rsid w:val="00565534"/>
    <w:rsid w:val="00575C1C"/>
    <w:rsid w:val="00581587"/>
    <w:rsid w:val="005874C7"/>
    <w:rsid w:val="00590B56"/>
    <w:rsid w:val="005910E9"/>
    <w:rsid w:val="00591135"/>
    <w:rsid w:val="00594EDD"/>
    <w:rsid w:val="005A0005"/>
    <w:rsid w:val="005A21E0"/>
    <w:rsid w:val="005A232D"/>
    <w:rsid w:val="005A3FA6"/>
    <w:rsid w:val="005A4D7F"/>
    <w:rsid w:val="005A5CBC"/>
    <w:rsid w:val="005A6A43"/>
    <w:rsid w:val="005A794A"/>
    <w:rsid w:val="005B125D"/>
    <w:rsid w:val="005B2307"/>
    <w:rsid w:val="005B427E"/>
    <w:rsid w:val="005B48B6"/>
    <w:rsid w:val="005B5449"/>
    <w:rsid w:val="005B551F"/>
    <w:rsid w:val="005B6C0E"/>
    <w:rsid w:val="005C0106"/>
    <w:rsid w:val="005D0BFC"/>
    <w:rsid w:val="005D1E70"/>
    <w:rsid w:val="005D5BD8"/>
    <w:rsid w:val="005E07B9"/>
    <w:rsid w:val="005E6607"/>
    <w:rsid w:val="005F0BE5"/>
    <w:rsid w:val="005F50CC"/>
    <w:rsid w:val="006006A7"/>
    <w:rsid w:val="0060238B"/>
    <w:rsid w:val="00604A00"/>
    <w:rsid w:val="00613326"/>
    <w:rsid w:val="0061798F"/>
    <w:rsid w:val="00621C85"/>
    <w:rsid w:val="00623D98"/>
    <w:rsid w:val="006344E3"/>
    <w:rsid w:val="00636B36"/>
    <w:rsid w:val="0063732B"/>
    <w:rsid w:val="00643BD3"/>
    <w:rsid w:val="00654192"/>
    <w:rsid w:val="006543D7"/>
    <w:rsid w:val="0065671B"/>
    <w:rsid w:val="006613E0"/>
    <w:rsid w:val="00663BAE"/>
    <w:rsid w:val="00663C53"/>
    <w:rsid w:val="00664373"/>
    <w:rsid w:val="0066449E"/>
    <w:rsid w:val="00664705"/>
    <w:rsid w:val="00664A81"/>
    <w:rsid w:val="00664B51"/>
    <w:rsid w:val="00665B80"/>
    <w:rsid w:val="00670EAD"/>
    <w:rsid w:val="00671EBB"/>
    <w:rsid w:val="006727D8"/>
    <w:rsid w:val="00673FB2"/>
    <w:rsid w:val="00680DF2"/>
    <w:rsid w:val="006829D5"/>
    <w:rsid w:val="0068374C"/>
    <w:rsid w:val="00684659"/>
    <w:rsid w:val="006926E8"/>
    <w:rsid w:val="006933C6"/>
    <w:rsid w:val="00695A3B"/>
    <w:rsid w:val="006A0870"/>
    <w:rsid w:val="006A0DFE"/>
    <w:rsid w:val="006B24D5"/>
    <w:rsid w:val="006B61E8"/>
    <w:rsid w:val="006C2D6D"/>
    <w:rsid w:val="006C378E"/>
    <w:rsid w:val="006C7BE6"/>
    <w:rsid w:val="006D1E67"/>
    <w:rsid w:val="006D216C"/>
    <w:rsid w:val="006D6DF3"/>
    <w:rsid w:val="006E0462"/>
    <w:rsid w:val="006E2E2C"/>
    <w:rsid w:val="006F38A8"/>
    <w:rsid w:val="006F685B"/>
    <w:rsid w:val="00701485"/>
    <w:rsid w:val="00702946"/>
    <w:rsid w:val="00705286"/>
    <w:rsid w:val="0071029F"/>
    <w:rsid w:val="00716AF3"/>
    <w:rsid w:val="00716EB6"/>
    <w:rsid w:val="00720D47"/>
    <w:rsid w:val="00722FDC"/>
    <w:rsid w:val="0072362F"/>
    <w:rsid w:val="00731F4D"/>
    <w:rsid w:val="007329D4"/>
    <w:rsid w:val="00732DC2"/>
    <w:rsid w:val="007458E6"/>
    <w:rsid w:val="00746FEB"/>
    <w:rsid w:val="007502A4"/>
    <w:rsid w:val="007542A0"/>
    <w:rsid w:val="0075491A"/>
    <w:rsid w:val="00757FA8"/>
    <w:rsid w:val="0076522F"/>
    <w:rsid w:val="00765FFF"/>
    <w:rsid w:val="00766B8E"/>
    <w:rsid w:val="00766D65"/>
    <w:rsid w:val="00770408"/>
    <w:rsid w:val="00772838"/>
    <w:rsid w:val="007751CC"/>
    <w:rsid w:val="007770EE"/>
    <w:rsid w:val="00784406"/>
    <w:rsid w:val="00785B94"/>
    <w:rsid w:val="00787D80"/>
    <w:rsid w:val="007905BA"/>
    <w:rsid w:val="00790CDC"/>
    <w:rsid w:val="00791EF6"/>
    <w:rsid w:val="0079230A"/>
    <w:rsid w:val="00796C59"/>
    <w:rsid w:val="007A0257"/>
    <w:rsid w:val="007A4316"/>
    <w:rsid w:val="007A4B97"/>
    <w:rsid w:val="007A6C24"/>
    <w:rsid w:val="007B1C3F"/>
    <w:rsid w:val="007B291C"/>
    <w:rsid w:val="007B4FF5"/>
    <w:rsid w:val="007B5B19"/>
    <w:rsid w:val="007C299C"/>
    <w:rsid w:val="007C3AA7"/>
    <w:rsid w:val="007C44C4"/>
    <w:rsid w:val="007C5725"/>
    <w:rsid w:val="007C66CE"/>
    <w:rsid w:val="007C7513"/>
    <w:rsid w:val="007D1376"/>
    <w:rsid w:val="007D1F26"/>
    <w:rsid w:val="007D3532"/>
    <w:rsid w:val="007D4EC4"/>
    <w:rsid w:val="007D65E1"/>
    <w:rsid w:val="007E3DD6"/>
    <w:rsid w:val="007E3F39"/>
    <w:rsid w:val="007E4DD0"/>
    <w:rsid w:val="007E5126"/>
    <w:rsid w:val="007E7F0F"/>
    <w:rsid w:val="007F14D5"/>
    <w:rsid w:val="007F57ED"/>
    <w:rsid w:val="007F5D36"/>
    <w:rsid w:val="00802489"/>
    <w:rsid w:val="00804A12"/>
    <w:rsid w:val="00813F78"/>
    <w:rsid w:val="00814001"/>
    <w:rsid w:val="00817577"/>
    <w:rsid w:val="00817E42"/>
    <w:rsid w:val="008221E6"/>
    <w:rsid w:val="00824F6B"/>
    <w:rsid w:val="00831C04"/>
    <w:rsid w:val="00832499"/>
    <w:rsid w:val="00832D95"/>
    <w:rsid w:val="00834F7F"/>
    <w:rsid w:val="00842ABA"/>
    <w:rsid w:val="00842AFE"/>
    <w:rsid w:val="0084456C"/>
    <w:rsid w:val="00844759"/>
    <w:rsid w:val="008459EF"/>
    <w:rsid w:val="00845BB3"/>
    <w:rsid w:val="00853137"/>
    <w:rsid w:val="00855015"/>
    <w:rsid w:val="008564C5"/>
    <w:rsid w:val="008564E7"/>
    <w:rsid w:val="00862D60"/>
    <w:rsid w:val="008640C8"/>
    <w:rsid w:val="00866FE4"/>
    <w:rsid w:val="00870528"/>
    <w:rsid w:val="00871376"/>
    <w:rsid w:val="00872199"/>
    <w:rsid w:val="008806AD"/>
    <w:rsid w:val="0088473B"/>
    <w:rsid w:val="00890A93"/>
    <w:rsid w:val="00892DEC"/>
    <w:rsid w:val="008A2363"/>
    <w:rsid w:val="008A2F67"/>
    <w:rsid w:val="008A355E"/>
    <w:rsid w:val="008B023E"/>
    <w:rsid w:val="008B11A1"/>
    <w:rsid w:val="008B29AC"/>
    <w:rsid w:val="008B2BF8"/>
    <w:rsid w:val="008B3DDE"/>
    <w:rsid w:val="008B5A3F"/>
    <w:rsid w:val="008B6A21"/>
    <w:rsid w:val="008C09FB"/>
    <w:rsid w:val="008C69AC"/>
    <w:rsid w:val="008D1E3F"/>
    <w:rsid w:val="008D23F9"/>
    <w:rsid w:val="008D59D4"/>
    <w:rsid w:val="008D70EE"/>
    <w:rsid w:val="008E0A92"/>
    <w:rsid w:val="008E433A"/>
    <w:rsid w:val="008E48DB"/>
    <w:rsid w:val="008E663A"/>
    <w:rsid w:val="008E6B89"/>
    <w:rsid w:val="008F3ABC"/>
    <w:rsid w:val="008F43CA"/>
    <w:rsid w:val="008F4F0C"/>
    <w:rsid w:val="008F77E8"/>
    <w:rsid w:val="00900091"/>
    <w:rsid w:val="0090598D"/>
    <w:rsid w:val="00905BD4"/>
    <w:rsid w:val="009066BC"/>
    <w:rsid w:val="00906CDD"/>
    <w:rsid w:val="00910147"/>
    <w:rsid w:val="00911875"/>
    <w:rsid w:val="00913FCC"/>
    <w:rsid w:val="009259EC"/>
    <w:rsid w:val="00926A5C"/>
    <w:rsid w:val="009277FC"/>
    <w:rsid w:val="00927931"/>
    <w:rsid w:val="0093096B"/>
    <w:rsid w:val="00935190"/>
    <w:rsid w:val="0093578D"/>
    <w:rsid w:val="009378FA"/>
    <w:rsid w:val="009472B4"/>
    <w:rsid w:val="0095185C"/>
    <w:rsid w:val="00956D9C"/>
    <w:rsid w:val="00961B26"/>
    <w:rsid w:val="00965909"/>
    <w:rsid w:val="00965B91"/>
    <w:rsid w:val="00966612"/>
    <w:rsid w:val="00967A84"/>
    <w:rsid w:val="00970046"/>
    <w:rsid w:val="00970185"/>
    <w:rsid w:val="009721F1"/>
    <w:rsid w:val="00972E2E"/>
    <w:rsid w:val="009820B5"/>
    <w:rsid w:val="009837C1"/>
    <w:rsid w:val="0098527F"/>
    <w:rsid w:val="009910AD"/>
    <w:rsid w:val="00991529"/>
    <w:rsid w:val="00991D29"/>
    <w:rsid w:val="00992BE3"/>
    <w:rsid w:val="00993254"/>
    <w:rsid w:val="009967B3"/>
    <w:rsid w:val="00997638"/>
    <w:rsid w:val="009A09F2"/>
    <w:rsid w:val="009A2AD6"/>
    <w:rsid w:val="009A46B0"/>
    <w:rsid w:val="009A6F6C"/>
    <w:rsid w:val="009B5CBF"/>
    <w:rsid w:val="009C05C5"/>
    <w:rsid w:val="009C0C9A"/>
    <w:rsid w:val="009C1408"/>
    <w:rsid w:val="009C5913"/>
    <w:rsid w:val="009C6EC4"/>
    <w:rsid w:val="009D0B0E"/>
    <w:rsid w:val="009D0FF5"/>
    <w:rsid w:val="009D1EC4"/>
    <w:rsid w:val="009D2095"/>
    <w:rsid w:val="009D7AA4"/>
    <w:rsid w:val="009D7C74"/>
    <w:rsid w:val="009E06DD"/>
    <w:rsid w:val="009E0862"/>
    <w:rsid w:val="009E2EE7"/>
    <w:rsid w:val="009E335E"/>
    <w:rsid w:val="009F1616"/>
    <w:rsid w:val="009F7E77"/>
    <w:rsid w:val="00A013A4"/>
    <w:rsid w:val="00A030F1"/>
    <w:rsid w:val="00A07A6D"/>
    <w:rsid w:val="00A10916"/>
    <w:rsid w:val="00A141B7"/>
    <w:rsid w:val="00A15365"/>
    <w:rsid w:val="00A21D60"/>
    <w:rsid w:val="00A21F78"/>
    <w:rsid w:val="00A22498"/>
    <w:rsid w:val="00A23247"/>
    <w:rsid w:val="00A33009"/>
    <w:rsid w:val="00A3339D"/>
    <w:rsid w:val="00A3497D"/>
    <w:rsid w:val="00A3569F"/>
    <w:rsid w:val="00A42F39"/>
    <w:rsid w:val="00A438F5"/>
    <w:rsid w:val="00A461B3"/>
    <w:rsid w:val="00A50326"/>
    <w:rsid w:val="00A50497"/>
    <w:rsid w:val="00A51F1D"/>
    <w:rsid w:val="00A52208"/>
    <w:rsid w:val="00A52D48"/>
    <w:rsid w:val="00A56BDD"/>
    <w:rsid w:val="00A61A83"/>
    <w:rsid w:val="00A64249"/>
    <w:rsid w:val="00A66542"/>
    <w:rsid w:val="00A6778B"/>
    <w:rsid w:val="00A678BE"/>
    <w:rsid w:val="00A74C1D"/>
    <w:rsid w:val="00A75BB0"/>
    <w:rsid w:val="00A76CE5"/>
    <w:rsid w:val="00A77AFD"/>
    <w:rsid w:val="00A77D9B"/>
    <w:rsid w:val="00A85DD3"/>
    <w:rsid w:val="00A91D24"/>
    <w:rsid w:val="00A92178"/>
    <w:rsid w:val="00A93616"/>
    <w:rsid w:val="00A97837"/>
    <w:rsid w:val="00AA04C8"/>
    <w:rsid w:val="00AA256A"/>
    <w:rsid w:val="00AA402D"/>
    <w:rsid w:val="00AA751A"/>
    <w:rsid w:val="00AB14F5"/>
    <w:rsid w:val="00AB1A7D"/>
    <w:rsid w:val="00AB6ED0"/>
    <w:rsid w:val="00AC0463"/>
    <w:rsid w:val="00AC174D"/>
    <w:rsid w:val="00AC1D21"/>
    <w:rsid w:val="00AC3A63"/>
    <w:rsid w:val="00AC4047"/>
    <w:rsid w:val="00AD4D90"/>
    <w:rsid w:val="00AD7171"/>
    <w:rsid w:val="00AF233C"/>
    <w:rsid w:val="00B00F17"/>
    <w:rsid w:val="00B03DCD"/>
    <w:rsid w:val="00B07318"/>
    <w:rsid w:val="00B07A9E"/>
    <w:rsid w:val="00B1290A"/>
    <w:rsid w:val="00B135AC"/>
    <w:rsid w:val="00B13D42"/>
    <w:rsid w:val="00B14811"/>
    <w:rsid w:val="00B15953"/>
    <w:rsid w:val="00B174AC"/>
    <w:rsid w:val="00B206EF"/>
    <w:rsid w:val="00B2140F"/>
    <w:rsid w:val="00B26378"/>
    <w:rsid w:val="00B30D8D"/>
    <w:rsid w:val="00B31D1F"/>
    <w:rsid w:val="00B32FA6"/>
    <w:rsid w:val="00B3494F"/>
    <w:rsid w:val="00B3517B"/>
    <w:rsid w:val="00B36CEE"/>
    <w:rsid w:val="00B4019E"/>
    <w:rsid w:val="00B405CE"/>
    <w:rsid w:val="00B448B2"/>
    <w:rsid w:val="00B50485"/>
    <w:rsid w:val="00B5120A"/>
    <w:rsid w:val="00B51E04"/>
    <w:rsid w:val="00B52D51"/>
    <w:rsid w:val="00B56836"/>
    <w:rsid w:val="00B606DE"/>
    <w:rsid w:val="00B63062"/>
    <w:rsid w:val="00B65176"/>
    <w:rsid w:val="00B66561"/>
    <w:rsid w:val="00B6674E"/>
    <w:rsid w:val="00B72346"/>
    <w:rsid w:val="00B74EF4"/>
    <w:rsid w:val="00B74F0B"/>
    <w:rsid w:val="00B7748B"/>
    <w:rsid w:val="00B85595"/>
    <w:rsid w:val="00B91C82"/>
    <w:rsid w:val="00B9342B"/>
    <w:rsid w:val="00B950B1"/>
    <w:rsid w:val="00B96BDF"/>
    <w:rsid w:val="00BA3F52"/>
    <w:rsid w:val="00BA4CAA"/>
    <w:rsid w:val="00BA7EE7"/>
    <w:rsid w:val="00BB2EE4"/>
    <w:rsid w:val="00BB70D5"/>
    <w:rsid w:val="00BC18A3"/>
    <w:rsid w:val="00BC4208"/>
    <w:rsid w:val="00BD5FC6"/>
    <w:rsid w:val="00BD6A94"/>
    <w:rsid w:val="00BE1308"/>
    <w:rsid w:val="00BE257E"/>
    <w:rsid w:val="00BE4D10"/>
    <w:rsid w:val="00BE5075"/>
    <w:rsid w:val="00BE72A0"/>
    <w:rsid w:val="00BE7D6C"/>
    <w:rsid w:val="00BF3942"/>
    <w:rsid w:val="00BF3C17"/>
    <w:rsid w:val="00BF57CE"/>
    <w:rsid w:val="00BF661A"/>
    <w:rsid w:val="00C00C23"/>
    <w:rsid w:val="00C062D4"/>
    <w:rsid w:val="00C06873"/>
    <w:rsid w:val="00C1059A"/>
    <w:rsid w:val="00C11AED"/>
    <w:rsid w:val="00C16617"/>
    <w:rsid w:val="00C17512"/>
    <w:rsid w:val="00C17FF7"/>
    <w:rsid w:val="00C24DB0"/>
    <w:rsid w:val="00C262BF"/>
    <w:rsid w:val="00C31E42"/>
    <w:rsid w:val="00C32CBF"/>
    <w:rsid w:val="00C36434"/>
    <w:rsid w:val="00C3717D"/>
    <w:rsid w:val="00C41D6F"/>
    <w:rsid w:val="00C42E5F"/>
    <w:rsid w:val="00C46632"/>
    <w:rsid w:val="00C47F89"/>
    <w:rsid w:val="00C51F2C"/>
    <w:rsid w:val="00C533A2"/>
    <w:rsid w:val="00C54C06"/>
    <w:rsid w:val="00C555C3"/>
    <w:rsid w:val="00C56E02"/>
    <w:rsid w:val="00C60125"/>
    <w:rsid w:val="00C610F9"/>
    <w:rsid w:val="00C619EA"/>
    <w:rsid w:val="00C67DD6"/>
    <w:rsid w:val="00C7460B"/>
    <w:rsid w:val="00C7479D"/>
    <w:rsid w:val="00C763F9"/>
    <w:rsid w:val="00C77421"/>
    <w:rsid w:val="00C83380"/>
    <w:rsid w:val="00C84E40"/>
    <w:rsid w:val="00C92C5B"/>
    <w:rsid w:val="00C95CFE"/>
    <w:rsid w:val="00CA3337"/>
    <w:rsid w:val="00CA41D6"/>
    <w:rsid w:val="00CA437A"/>
    <w:rsid w:val="00CA5BC3"/>
    <w:rsid w:val="00CA6AF5"/>
    <w:rsid w:val="00CB292E"/>
    <w:rsid w:val="00CC069F"/>
    <w:rsid w:val="00CC0A3D"/>
    <w:rsid w:val="00CC4398"/>
    <w:rsid w:val="00CD14C8"/>
    <w:rsid w:val="00CD15C6"/>
    <w:rsid w:val="00CD2526"/>
    <w:rsid w:val="00CD730D"/>
    <w:rsid w:val="00CD7F3B"/>
    <w:rsid w:val="00CF000A"/>
    <w:rsid w:val="00CF03AD"/>
    <w:rsid w:val="00CF04E7"/>
    <w:rsid w:val="00CF0514"/>
    <w:rsid w:val="00CF4823"/>
    <w:rsid w:val="00CF50C0"/>
    <w:rsid w:val="00CF5406"/>
    <w:rsid w:val="00CF5DD9"/>
    <w:rsid w:val="00D01BD1"/>
    <w:rsid w:val="00D01F26"/>
    <w:rsid w:val="00D03C63"/>
    <w:rsid w:val="00D06737"/>
    <w:rsid w:val="00D237A4"/>
    <w:rsid w:val="00D27947"/>
    <w:rsid w:val="00D37C27"/>
    <w:rsid w:val="00D40284"/>
    <w:rsid w:val="00D4278A"/>
    <w:rsid w:val="00D45B2D"/>
    <w:rsid w:val="00D46608"/>
    <w:rsid w:val="00D46757"/>
    <w:rsid w:val="00D46AB0"/>
    <w:rsid w:val="00D511CC"/>
    <w:rsid w:val="00D5262A"/>
    <w:rsid w:val="00D53961"/>
    <w:rsid w:val="00D56004"/>
    <w:rsid w:val="00D570FC"/>
    <w:rsid w:val="00D70C36"/>
    <w:rsid w:val="00D72271"/>
    <w:rsid w:val="00D812BD"/>
    <w:rsid w:val="00D82CC3"/>
    <w:rsid w:val="00D864E1"/>
    <w:rsid w:val="00D92DB5"/>
    <w:rsid w:val="00D93C56"/>
    <w:rsid w:val="00DA1189"/>
    <w:rsid w:val="00DA1740"/>
    <w:rsid w:val="00DA22D3"/>
    <w:rsid w:val="00DB5186"/>
    <w:rsid w:val="00DC26C9"/>
    <w:rsid w:val="00DC504A"/>
    <w:rsid w:val="00DC591A"/>
    <w:rsid w:val="00DC5CAF"/>
    <w:rsid w:val="00DC5E71"/>
    <w:rsid w:val="00DC6AAE"/>
    <w:rsid w:val="00DE3735"/>
    <w:rsid w:val="00DE5A47"/>
    <w:rsid w:val="00DE6EED"/>
    <w:rsid w:val="00DF49B8"/>
    <w:rsid w:val="00DF7A70"/>
    <w:rsid w:val="00E01471"/>
    <w:rsid w:val="00E060E7"/>
    <w:rsid w:val="00E12DB3"/>
    <w:rsid w:val="00E15E9E"/>
    <w:rsid w:val="00E20D37"/>
    <w:rsid w:val="00E20FF7"/>
    <w:rsid w:val="00E21C16"/>
    <w:rsid w:val="00E22609"/>
    <w:rsid w:val="00E27147"/>
    <w:rsid w:val="00E30880"/>
    <w:rsid w:val="00E32B85"/>
    <w:rsid w:val="00E358A1"/>
    <w:rsid w:val="00E37CB6"/>
    <w:rsid w:val="00E45433"/>
    <w:rsid w:val="00E465A1"/>
    <w:rsid w:val="00E5667D"/>
    <w:rsid w:val="00E57CFF"/>
    <w:rsid w:val="00E671B1"/>
    <w:rsid w:val="00E75BE4"/>
    <w:rsid w:val="00E80FFF"/>
    <w:rsid w:val="00E82346"/>
    <w:rsid w:val="00E93CB7"/>
    <w:rsid w:val="00E95E7A"/>
    <w:rsid w:val="00E97503"/>
    <w:rsid w:val="00EA2577"/>
    <w:rsid w:val="00EB1AD0"/>
    <w:rsid w:val="00EB22C9"/>
    <w:rsid w:val="00EB3983"/>
    <w:rsid w:val="00EC1365"/>
    <w:rsid w:val="00ED02C7"/>
    <w:rsid w:val="00ED0AB1"/>
    <w:rsid w:val="00ED0B28"/>
    <w:rsid w:val="00ED5700"/>
    <w:rsid w:val="00ED6807"/>
    <w:rsid w:val="00EE08FA"/>
    <w:rsid w:val="00EE2C12"/>
    <w:rsid w:val="00EE3D13"/>
    <w:rsid w:val="00EE3D93"/>
    <w:rsid w:val="00EF036D"/>
    <w:rsid w:val="00EF26CB"/>
    <w:rsid w:val="00EF353D"/>
    <w:rsid w:val="00EF63E6"/>
    <w:rsid w:val="00EF641C"/>
    <w:rsid w:val="00EF7029"/>
    <w:rsid w:val="00F03261"/>
    <w:rsid w:val="00F03436"/>
    <w:rsid w:val="00F03484"/>
    <w:rsid w:val="00F1659B"/>
    <w:rsid w:val="00F16C25"/>
    <w:rsid w:val="00F21197"/>
    <w:rsid w:val="00F212E0"/>
    <w:rsid w:val="00F25F9A"/>
    <w:rsid w:val="00F32EC6"/>
    <w:rsid w:val="00F45CF8"/>
    <w:rsid w:val="00F46764"/>
    <w:rsid w:val="00F474BA"/>
    <w:rsid w:val="00F50D8B"/>
    <w:rsid w:val="00F51DEA"/>
    <w:rsid w:val="00F6029A"/>
    <w:rsid w:val="00F62411"/>
    <w:rsid w:val="00F62D8E"/>
    <w:rsid w:val="00F651AE"/>
    <w:rsid w:val="00F6790C"/>
    <w:rsid w:val="00F73A5D"/>
    <w:rsid w:val="00F827CA"/>
    <w:rsid w:val="00F92DA4"/>
    <w:rsid w:val="00F94493"/>
    <w:rsid w:val="00F94845"/>
    <w:rsid w:val="00F94FB5"/>
    <w:rsid w:val="00F971FE"/>
    <w:rsid w:val="00F97A81"/>
    <w:rsid w:val="00F97CF8"/>
    <w:rsid w:val="00FA2CE2"/>
    <w:rsid w:val="00FB085B"/>
    <w:rsid w:val="00FB270B"/>
    <w:rsid w:val="00FB27A7"/>
    <w:rsid w:val="00FB44B1"/>
    <w:rsid w:val="00FB5ADB"/>
    <w:rsid w:val="00FB7FFE"/>
    <w:rsid w:val="00FC2240"/>
    <w:rsid w:val="00FC6D21"/>
    <w:rsid w:val="00FD3AEC"/>
    <w:rsid w:val="00FD559D"/>
    <w:rsid w:val="00FE0382"/>
    <w:rsid w:val="00FE2B39"/>
    <w:rsid w:val="00FE5FFC"/>
    <w:rsid w:val="00FF1CDA"/>
    <w:rsid w:val="00FF34A1"/>
    <w:rsid w:val="00FF4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4DB1"/>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unhideWhenUsed/>
    <w:qFormat/>
    <w:rsid w:val="00436640"/>
    <w:pPr>
      <w:spacing w:after="0" w:line="240" w:lineRule="auto"/>
    </w:pPr>
    <w:rPr>
      <w:sz w:val="20"/>
      <w:szCs w:val="20"/>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qFormat/>
    <w:rsid w:val="00436640"/>
    <w:rPr>
      <w:sz w:val="20"/>
      <w:szCs w:val="20"/>
    </w:rPr>
  </w:style>
  <w:style w:type="character" w:styleId="FootnoteReference">
    <w:name w:val="footnote reference"/>
    <w:aliases w:val="BVI fnr,16 Point,Superscript 6 Point"/>
    <w:basedOn w:val="DefaultParagraphFont"/>
    <w:uiPriority w:val="99"/>
    <w:unhideWhenUsed/>
    <w:qFormat/>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 w:type="paragraph" w:styleId="Header">
    <w:name w:val="header"/>
    <w:basedOn w:val="Normal"/>
    <w:link w:val="HeaderChar"/>
    <w:uiPriority w:val="99"/>
    <w:unhideWhenUsed/>
    <w:rsid w:val="008A23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2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7738">
      <w:bodyDiv w:val="1"/>
      <w:marLeft w:val="0"/>
      <w:marRight w:val="0"/>
      <w:marTop w:val="0"/>
      <w:marBottom w:val="0"/>
      <w:divBdr>
        <w:top w:val="none" w:sz="0" w:space="0" w:color="auto"/>
        <w:left w:val="none" w:sz="0" w:space="0" w:color="auto"/>
        <w:bottom w:val="none" w:sz="0" w:space="0" w:color="auto"/>
        <w:right w:val="none" w:sz="0" w:space="0" w:color="auto"/>
      </w:divBdr>
    </w:div>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AC524-1E65-47E4-AFD7-0FB71C320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5448</Words>
  <Characters>31059</Characters>
  <Application>Microsoft Office Word</Application>
  <DocSecurity>0</DocSecurity>
  <Lines>258</Lines>
  <Paragraphs>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dc:creator>
  <cp:lastModifiedBy>Anita Memić</cp:lastModifiedBy>
  <cp:revision>3</cp:revision>
  <cp:lastPrinted>2025-10-02T13:11:00Z</cp:lastPrinted>
  <dcterms:created xsi:type="dcterms:W3CDTF">2025-10-02T14:06:00Z</dcterms:created>
  <dcterms:modified xsi:type="dcterms:W3CDTF">2025-10-02T15:10:00Z</dcterms:modified>
</cp:coreProperties>
</file>